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乐山市社会保险事务中心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工作服数量、单套总额限价及相关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指标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要求</w:t>
      </w:r>
    </w:p>
    <w:tbl>
      <w:tblPr>
        <w:tblStyle w:val="6"/>
        <w:tblpPr w:leftFromText="180" w:rightFromText="180" w:vertAnchor="text" w:horzAnchor="page" w:tblpX="847" w:tblpY="614"/>
        <w:tblOverlap w:val="never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95"/>
        <w:gridCol w:w="4078"/>
        <w:gridCol w:w="1684"/>
        <w:gridCol w:w="704"/>
        <w:gridCol w:w="82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服装名称</w:t>
            </w:r>
          </w:p>
        </w:tc>
        <w:tc>
          <w:tcPr>
            <w:tcW w:w="4078" w:type="dxa"/>
            <w:noWrap/>
            <w:vAlign w:val="center"/>
          </w:tcPr>
          <w:p>
            <w:pPr>
              <w:widowControl/>
              <w:tabs>
                <w:tab w:val="left" w:pos="1827"/>
                <w:tab w:val="center" w:pos="2539"/>
              </w:tabs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款式及面料</w:t>
            </w:r>
          </w:p>
        </w:tc>
        <w:tc>
          <w:tcPr>
            <w:tcW w:w="168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颜色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单位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9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9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长袖衬衣</w:t>
            </w:r>
          </w:p>
        </w:tc>
        <w:tc>
          <w:tcPr>
            <w:tcW w:w="407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100%棉，克重95—125克，100纱支</w:t>
            </w:r>
          </w:p>
        </w:tc>
        <w:tc>
          <w:tcPr>
            <w:tcW w:w="1684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白色</w:t>
            </w:r>
          </w:p>
        </w:tc>
        <w:tc>
          <w:tcPr>
            <w:tcW w:w="7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件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7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蓝隐条纹白底</w:t>
            </w:r>
          </w:p>
        </w:tc>
        <w:tc>
          <w:tcPr>
            <w:tcW w:w="70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9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短袖衬衣</w:t>
            </w:r>
          </w:p>
        </w:tc>
        <w:tc>
          <w:tcPr>
            <w:tcW w:w="407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100%棉，克重95—125克，100纱支</w:t>
            </w:r>
          </w:p>
        </w:tc>
        <w:tc>
          <w:tcPr>
            <w:tcW w:w="1684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白色</w:t>
            </w:r>
          </w:p>
        </w:tc>
        <w:tc>
          <w:tcPr>
            <w:tcW w:w="7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件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7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蓝隐条纹白底</w:t>
            </w:r>
          </w:p>
        </w:tc>
        <w:tc>
          <w:tcPr>
            <w:tcW w:w="70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9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9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西服</w:t>
            </w:r>
          </w:p>
        </w:tc>
        <w:tc>
          <w:tcPr>
            <w:tcW w:w="4078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三粒扣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或两粒扣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，平驳领，不开叉；70%羊毛，29.5%涤纶，0.5%导电丝.克重270克</w:t>
            </w: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或藏蓝色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面料</w:t>
            </w:r>
          </w:p>
        </w:tc>
        <w:tc>
          <w:tcPr>
            <w:tcW w:w="7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件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7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夏装西裤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无褶裤；50%羊毛，39.5%涤纶，10%天丝，0.5%导电纤维，克重215克，100支纱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或藏蓝色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面料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9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秋装西裤</w:t>
            </w:r>
          </w:p>
        </w:tc>
        <w:tc>
          <w:tcPr>
            <w:tcW w:w="4078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无褶裤；70%羊毛，29.5%涤纶，0.5%导电丝.克重270克</w:t>
            </w: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或藏蓝色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面料</w:t>
            </w:r>
          </w:p>
        </w:tc>
        <w:tc>
          <w:tcPr>
            <w:tcW w:w="7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7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9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9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冬大衣</w:t>
            </w:r>
          </w:p>
        </w:tc>
        <w:tc>
          <w:tcPr>
            <w:tcW w:w="4078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90%羊毛，10%羊绒，克重450克</w:t>
            </w: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深藏青</w:t>
            </w:r>
          </w:p>
        </w:tc>
        <w:tc>
          <w:tcPr>
            <w:tcW w:w="7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件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7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领带</w:t>
            </w:r>
          </w:p>
        </w:tc>
        <w:tc>
          <w:tcPr>
            <w:tcW w:w="407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带宽8.0cm；100%桑蚕丝</w:t>
            </w:r>
          </w:p>
        </w:tc>
        <w:tc>
          <w:tcPr>
            <w:tcW w:w="1684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条、花纹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夏裙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无褶裙；50%羊毛，39.5%涤纶，10%天丝，0.5%导电纤维，克重215克，100支纱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或藏蓝色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面料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丝巾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*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cm；100%天丝12欧姆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复古马车蓝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184" w:type="dxa"/>
            <w:gridSpan w:val="6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合计数量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instrText xml:space="preserve"> = sum(G2:G15) \* MERGEFORMAT </w:instrTex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448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  <w:tc>
          <w:tcPr>
            <w:tcW w:w="9356" w:type="dxa"/>
            <w:gridSpan w:val="6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仿宋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男士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单套总额上限标准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2714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/人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；女士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单套总额上限标准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2696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/人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2.本次配置工作服总人数为32人，其中男性11人，女性21，本次工作服配置总金额不得超过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86470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autoSpaceDE w:val="0"/>
        <w:adjustRightInd w:val="0"/>
        <w:snapToGrid w:val="0"/>
        <w:spacing w:line="360" w:lineRule="auto"/>
        <w:jc w:val="left"/>
        <w:textAlignment w:val="baseline"/>
        <w:rPr>
          <w:rFonts w:hint="eastAsia" w:ascii="宋体" w:hAnsi="宋体" w:eastAsia="宋体" w:cs="宋体"/>
          <w:b/>
          <w:bCs/>
          <w:color w:val="auto"/>
          <w:sz w:val="24"/>
          <w:highlight w:val="red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B"/>
    <w:multiLevelType w:val="multilevel"/>
    <w:tmpl w:val="0000001B"/>
    <w:lvl w:ilvl="0" w:tentative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 w:ascii="黑体" w:hAnsi="楷体" w:eastAsia="黑体"/>
        <w:b/>
        <w:i w:val="0"/>
        <w:sz w:val="32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 w:ascii="黑体" w:eastAsia="黑体"/>
        <w:b/>
        <w:i w:val="0"/>
        <w:sz w:val="30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 w:ascii="黑体" w:eastAsia="黑体"/>
        <w:b/>
        <w:i w:val="0"/>
        <w:sz w:val="28"/>
      </w:rPr>
    </w:lvl>
    <w:lvl w:ilvl="3" w:tentative="0">
      <w:start w:val="1"/>
      <w:numFmt w:val="decimal"/>
      <w:pStyle w:val="3"/>
      <w:suff w:val="space"/>
      <w:lvlText w:val="%1.%2.%3.%4"/>
      <w:lvlJc w:val="left"/>
      <w:pPr>
        <w:ind w:left="0" w:firstLine="0"/>
      </w:pPr>
      <w:rPr>
        <w:rFonts w:hint="eastAsia" w:ascii="黑体" w:eastAsia="黑体"/>
        <w:b/>
        <w:i w:val="0"/>
        <w:color w:val="auto"/>
        <w:sz w:val="24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 w:ascii="黑体" w:eastAsia="黑体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4"/>
        <w:u w:val="none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ODU2ZmExOWU1NWVkNTIyZGVlMGJlODhjOGQ3ZDUifQ=="/>
  </w:docVars>
  <w:rsids>
    <w:rsidRoot w:val="13680952"/>
    <w:rsid w:val="047123A6"/>
    <w:rsid w:val="0A635D59"/>
    <w:rsid w:val="0B5024AB"/>
    <w:rsid w:val="13680952"/>
    <w:rsid w:val="1ADB7D5E"/>
    <w:rsid w:val="27DF2122"/>
    <w:rsid w:val="333A1409"/>
    <w:rsid w:val="550E2CA0"/>
    <w:rsid w:val="6B18012D"/>
    <w:rsid w:val="7C8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beforeLines="0" w:after="290" w:afterLines="0" w:line="376" w:lineRule="auto"/>
      <w:ind w:firstLineChars="0"/>
      <w:outlineLvl w:val="3"/>
    </w:pPr>
    <w:rPr>
      <w:rFonts w:eastAsia="黑体"/>
      <w:b/>
      <w:bCs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</w:style>
  <w:style w:type="paragraph" w:styleId="5">
    <w:name w:val="Body Text"/>
    <w:basedOn w:val="1"/>
    <w:next w:val="1"/>
    <w:qFormat/>
    <w:uiPriority w:val="1"/>
    <w:rPr>
      <w:sz w:val="24"/>
      <w:szCs w:val="24"/>
    </w:rPr>
  </w:style>
  <w:style w:type="paragraph" w:customStyle="1" w:styleId="8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578</Characters>
  <Lines>0</Lines>
  <Paragraphs>0</Paragraphs>
  <TotalTime>3</TotalTime>
  <ScaleCrop>false</ScaleCrop>
  <LinksUpToDate>false</LinksUpToDate>
  <CharactersWithSpaces>578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2022-03-24T07:24:00Z</dcterms:created>
  <dc:creator>徐志宏</dc:creator>
  <cp:lastModifiedBy>徐志宏</cp:lastModifiedBy>
  <cp:lastPrinted>2022-05-06T07:24:00Z</cp:lastPrinted>
  <dcterms:modified xsi:type="dcterms:W3CDTF">2022-05-19T09:03:40Z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07A2FC179CCF4AB78B86A3F465552DC7</vt:lpwstr>
  </property>
</Properties>
</file>