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B9" w:rsidRDefault="009C2AB9">
      <w:pPr>
        <w:pStyle w:val="a6"/>
        <w:spacing w:before="0" w:beforeAutospacing="0" w:after="0" w:afterAutospacing="0"/>
        <w:jc w:val="center"/>
        <w:rPr>
          <w:rFonts w:ascii="Times New Roman" w:eastAsia="方正小标宋简体" w:hAnsi="Times New Roman" w:cs="方正小标宋简体"/>
          <w:sz w:val="72"/>
          <w:szCs w:val="72"/>
          <w:lang w:bidi="ar"/>
        </w:rPr>
      </w:pPr>
    </w:p>
    <w:p w:rsidR="009C2AB9" w:rsidRDefault="009C2AB9">
      <w:pPr>
        <w:pStyle w:val="a6"/>
        <w:spacing w:before="0" w:beforeAutospacing="0" w:after="0" w:afterAutospacing="0"/>
        <w:jc w:val="center"/>
        <w:rPr>
          <w:rFonts w:ascii="Times New Roman" w:eastAsia="方正小标宋简体" w:hAnsi="Times New Roman" w:cs="方正小标宋简体"/>
          <w:sz w:val="72"/>
          <w:szCs w:val="72"/>
          <w:lang w:bidi="ar"/>
        </w:rPr>
      </w:pPr>
    </w:p>
    <w:p w:rsidR="009C2AB9" w:rsidRDefault="009C2AB9">
      <w:pPr>
        <w:pStyle w:val="a6"/>
        <w:spacing w:before="0" w:beforeAutospacing="0" w:after="0" w:afterAutospacing="0"/>
        <w:jc w:val="center"/>
        <w:rPr>
          <w:rFonts w:ascii="Times New Roman" w:eastAsia="方正小标宋简体" w:hAnsi="Times New Roman" w:cs="方正小标宋简体"/>
          <w:sz w:val="72"/>
          <w:szCs w:val="72"/>
          <w:lang w:bidi="ar"/>
        </w:rPr>
      </w:pPr>
    </w:p>
    <w:p w:rsidR="009C2AB9" w:rsidRDefault="009C2AB9">
      <w:pPr>
        <w:pStyle w:val="a6"/>
        <w:spacing w:before="0" w:beforeAutospacing="0" w:after="0" w:afterAutospacing="0"/>
        <w:jc w:val="center"/>
        <w:rPr>
          <w:rFonts w:ascii="Times New Roman" w:eastAsia="方正小标宋简体" w:hAnsi="Times New Roman" w:cs="方正小标宋简体"/>
          <w:sz w:val="72"/>
          <w:szCs w:val="72"/>
          <w:lang w:bidi="ar"/>
        </w:rPr>
      </w:pPr>
    </w:p>
    <w:p w:rsidR="009C2AB9" w:rsidRDefault="009C2AB9">
      <w:pPr>
        <w:pStyle w:val="a6"/>
        <w:spacing w:before="0" w:beforeAutospacing="0" w:after="0" w:afterAutospacing="0"/>
        <w:jc w:val="center"/>
        <w:rPr>
          <w:rFonts w:ascii="Times New Roman" w:eastAsia="方正小标宋简体" w:hAnsi="Times New Roman" w:cs="方正小标宋简体"/>
          <w:sz w:val="72"/>
          <w:szCs w:val="72"/>
          <w:lang w:bidi="ar"/>
        </w:rPr>
      </w:pPr>
    </w:p>
    <w:p w:rsidR="009C2AB9" w:rsidRDefault="008C4AAD">
      <w:pPr>
        <w:widowControl/>
        <w:jc w:val="center"/>
        <w:outlineLvl w:val="0"/>
        <w:rPr>
          <w:rFonts w:eastAsia="方正小标宋简体" w:cs="方正小标宋简体"/>
          <w:kern w:val="0"/>
          <w:sz w:val="52"/>
          <w:szCs w:val="52"/>
          <w:lang w:bidi="ar"/>
        </w:rPr>
      </w:pPr>
      <w:bookmarkStart w:id="0" w:name="_Toc104537959"/>
      <w:bookmarkStart w:id="1" w:name="_Toc104537802"/>
      <w:bookmarkStart w:id="2" w:name="_Toc104537926"/>
      <w:r>
        <w:rPr>
          <w:rFonts w:eastAsia="方正小标宋简体" w:cs="方正小标宋简体" w:hint="eastAsia"/>
          <w:kern w:val="0"/>
          <w:sz w:val="52"/>
          <w:szCs w:val="52"/>
          <w:lang w:bidi="ar"/>
        </w:rPr>
        <w:t>乐山市</w:t>
      </w:r>
      <w:bookmarkEnd w:id="0"/>
      <w:bookmarkEnd w:id="1"/>
      <w:bookmarkEnd w:id="2"/>
      <w:r>
        <w:rPr>
          <w:rFonts w:eastAsia="方正小标宋简体" w:cs="方正小标宋简体" w:hint="eastAsia"/>
          <w:kern w:val="0"/>
          <w:sz w:val="52"/>
          <w:szCs w:val="52"/>
          <w:lang w:bidi="ar"/>
        </w:rPr>
        <w:t>就业创业促进中心</w:t>
      </w:r>
    </w:p>
    <w:p w:rsidR="009C2AB9" w:rsidRDefault="008C4AAD">
      <w:pPr>
        <w:widowControl/>
        <w:jc w:val="center"/>
        <w:outlineLvl w:val="0"/>
        <w:rPr>
          <w:rFonts w:eastAsia="方正小标宋简体" w:cs="方正小标宋简体"/>
          <w:kern w:val="0"/>
          <w:sz w:val="52"/>
          <w:szCs w:val="52"/>
          <w:lang w:bidi="ar"/>
        </w:rPr>
      </w:pPr>
      <w:bookmarkStart w:id="3" w:name="_Toc104537927"/>
      <w:bookmarkStart w:id="4" w:name="_Toc104537960"/>
      <w:bookmarkStart w:id="5" w:name="_Toc104537803"/>
      <w:r>
        <w:rPr>
          <w:rFonts w:eastAsia="方正小标宋简体" w:cs="方正小标宋简体" w:hint="eastAsia"/>
          <w:kern w:val="0"/>
          <w:sz w:val="52"/>
          <w:szCs w:val="52"/>
          <w:lang w:bidi="ar"/>
        </w:rPr>
        <w:t>2021</w:t>
      </w:r>
      <w:r>
        <w:rPr>
          <w:rFonts w:eastAsia="方正小标宋简体" w:cs="方正小标宋简体" w:hint="eastAsia"/>
          <w:kern w:val="0"/>
          <w:sz w:val="52"/>
          <w:szCs w:val="52"/>
          <w:lang w:bidi="ar"/>
        </w:rPr>
        <w:t>年部门预算</w:t>
      </w:r>
      <w:bookmarkEnd w:id="3"/>
      <w:bookmarkEnd w:id="4"/>
      <w:bookmarkEnd w:id="5"/>
    </w:p>
    <w:p w:rsidR="009C2AB9" w:rsidRDefault="009C2AB9">
      <w:pPr>
        <w:widowControl/>
        <w:jc w:val="center"/>
        <w:rPr>
          <w:rFonts w:eastAsia="方正小标宋简体" w:cs="方正小标宋简体"/>
          <w:kern w:val="0"/>
          <w:sz w:val="36"/>
          <w:szCs w:val="36"/>
          <w:lang w:bidi="ar"/>
        </w:rPr>
        <w:sectPr w:rsidR="009C2AB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pgNumType w:fmt="numberInDash"/>
          <w:cols w:space="720"/>
          <w:docGrid w:type="lines" w:linePitch="312"/>
        </w:sectPr>
      </w:pPr>
    </w:p>
    <w:p w:rsidR="009C2AB9" w:rsidRDefault="008C4AAD">
      <w:pPr>
        <w:widowControl/>
        <w:ind w:firstLine="880"/>
        <w:jc w:val="center"/>
        <w:outlineLvl w:val="0"/>
        <w:rPr>
          <w:rStyle w:val="a7"/>
          <w:rFonts w:eastAsia="黑体" w:cs="宋体"/>
          <w:color w:val="333333"/>
          <w:sz w:val="32"/>
          <w:szCs w:val="21"/>
        </w:rPr>
      </w:pPr>
      <w:bookmarkStart w:id="6" w:name="_Toc104537961"/>
      <w:bookmarkStart w:id="7" w:name="_Toc104537928"/>
      <w:bookmarkStart w:id="8" w:name="_Toc104537804"/>
      <w:r>
        <w:rPr>
          <w:rFonts w:eastAsia="方正小标宋简体" w:cs="方正小标宋简体" w:hint="eastAsia"/>
          <w:kern w:val="0"/>
          <w:sz w:val="44"/>
          <w:szCs w:val="44"/>
          <w:lang w:bidi="ar"/>
        </w:rPr>
        <w:lastRenderedPageBreak/>
        <w:t>目</w:t>
      </w:r>
      <w:r>
        <w:rPr>
          <w:rFonts w:eastAsia="方正小标宋简体" w:cs="方正小标宋简体" w:hint="eastAsia"/>
          <w:kern w:val="0"/>
          <w:sz w:val="44"/>
          <w:szCs w:val="44"/>
          <w:lang w:bidi="ar"/>
        </w:rPr>
        <w:t xml:space="preserve">  </w:t>
      </w:r>
      <w:r>
        <w:rPr>
          <w:rFonts w:eastAsia="方正小标宋简体" w:cs="方正小标宋简体" w:hint="eastAsia"/>
          <w:kern w:val="0"/>
          <w:sz w:val="44"/>
          <w:szCs w:val="44"/>
          <w:lang w:bidi="ar"/>
        </w:rPr>
        <w:t>录</w:t>
      </w:r>
      <w:bookmarkEnd w:id="6"/>
      <w:bookmarkEnd w:id="7"/>
      <w:bookmarkEnd w:id="8"/>
    </w:p>
    <w:p w:rsidR="009C2AB9" w:rsidRDefault="008C4AAD">
      <w:pPr>
        <w:pStyle w:val="1"/>
        <w:rPr>
          <w:rFonts w:ascii="仿宋_GB2312" w:eastAsia="仿宋_GB2312" w:hAnsi="Calibri"/>
          <w:b w:val="0"/>
          <w:kern w:val="2"/>
          <w:sz w:val="32"/>
          <w:szCs w:val="32"/>
        </w:rPr>
      </w:pPr>
      <w:r>
        <w:rPr>
          <w:rFonts w:ascii="Calibri" w:hAnsi="Calibri"/>
        </w:rPr>
        <w:fldChar w:fldCharType="begin"/>
      </w:r>
      <w:r>
        <w:rPr>
          <w:rFonts w:ascii="Calibri" w:hAnsi="Calibri"/>
        </w:rPr>
        <w:instrText xml:space="preserve"> TOC \o "1-1" \h \z \u </w:instrText>
      </w:r>
      <w:r>
        <w:rPr>
          <w:rFonts w:ascii="Calibri" w:hAnsi="Calibri"/>
        </w:rPr>
        <w:fldChar w:fldCharType="separate"/>
      </w:r>
      <w:hyperlink w:anchor="_Toc104537962" w:history="1">
        <w:r>
          <w:rPr>
            <w:rStyle w:val="a9"/>
            <w:rFonts w:ascii="仿宋_GB2312" w:eastAsia="仿宋_GB2312" w:hint="eastAsia"/>
            <w:b w:val="0"/>
            <w:sz w:val="32"/>
            <w:szCs w:val="32"/>
          </w:rPr>
          <w:t>一、 基本职能及主要工作</w:t>
        </w:r>
        <w:r>
          <w:rPr>
            <w:rFonts w:ascii="仿宋_GB2312" w:eastAsia="仿宋_GB2312" w:hint="eastAsia"/>
            <w:b w:val="0"/>
            <w:sz w:val="32"/>
            <w:szCs w:val="32"/>
          </w:rPr>
          <w:tab/>
          <w:t>1</w:t>
        </w:r>
      </w:hyperlink>
    </w:p>
    <w:p w:rsidR="009C2AB9" w:rsidRDefault="00A14779">
      <w:pPr>
        <w:pStyle w:val="1"/>
        <w:rPr>
          <w:rFonts w:ascii="仿宋_GB2312" w:eastAsia="仿宋_GB2312" w:hAnsi="Calibri"/>
          <w:b w:val="0"/>
          <w:kern w:val="2"/>
          <w:sz w:val="32"/>
          <w:szCs w:val="32"/>
        </w:rPr>
      </w:pPr>
      <w:hyperlink w:anchor="_Toc104537977" w:history="1">
        <w:r w:rsidR="008C4AAD">
          <w:rPr>
            <w:rStyle w:val="a9"/>
            <w:rFonts w:ascii="仿宋_GB2312" w:eastAsia="仿宋_GB2312" w:hint="eastAsia"/>
            <w:b w:val="0"/>
            <w:sz w:val="32"/>
            <w:szCs w:val="32"/>
          </w:rPr>
          <w:t>二、 部门概况</w:t>
        </w:r>
        <w:r w:rsidR="008C4AAD">
          <w:rPr>
            <w:rFonts w:ascii="仿宋_GB2312" w:eastAsia="仿宋_GB2312" w:hint="eastAsia"/>
            <w:b w:val="0"/>
            <w:sz w:val="32"/>
            <w:szCs w:val="32"/>
          </w:rPr>
          <w:tab/>
          <w:t>4</w:t>
        </w:r>
      </w:hyperlink>
    </w:p>
    <w:p w:rsidR="009C2AB9" w:rsidRDefault="00A14779">
      <w:pPr>
        <w:pStyle w:val="1"/>
        <w:rPr>
          <w:rFonts w:ascii="仿宋_GB2312" w:eastAsia="仿宋_GB2312" w:hAnsi="Calibri"/>
          <w:b w:val="0"/>
          <w:kern w:val="2"/>
          <w:sz w:val="32"/>
          <w:szCs w:val="32"/>
        </w:rPr>
      </w:pPr>
      <w:hyperlink w:anchor="_Toc104537978" w:history="1">
        <w:r w:rsidR="008C4AAD">
          <w:rPr>
            <w:rStyle w:val="a9"/>
            <w:rFonts w:ascii="仿宋_GB2312" w:eastAsia="仿宋_GB2312" w:hint="eastAsia"/>
            <w:b w:val="0"/>
            <w:sz w:val="32"/>
            <w:szCs w:val="32"/>
          </w:rPr>
          <w:t>三、 收支预算总体情况</w:t>
        </w:r>
        <w:r w:rsidR="008C4AAD">
          <w:rPr>
            <w:rFonts w:ascii="仿宋_GB2312" w:eastAsia="仿宋_GB2312" w:hint="eastAsia"/>
            <w:b w:val="0"/>
            <w:sz w:val="32"/>
            <w:szCs w:val="32"/>
          </w:rPr>
          <w:tab/>
          <w:t>4</w:t>
        </w:r>
      </w:hyperlink>
    </w:p>
    <w:p w:rsidR="009C2AB9" w:rsidRDefault="00A14779">
      <w:pPr>
        <w:pStyle w:val="1"/>
        <w:rPr>
          <w:rFonts w:ascii="仿宋_GB2312" w:eastAsia="仿宋_GB2312" w:hAnsi="Calibri"/>
          <w:b w:val="0"/>
          <w:kern w:val="2"/>
          <w:sz w:val="32"/>
          <w:szCs w:val="32"/>
        </w:rPr>
      </w:pPr>
      <w:hyperlink w:anchor="_Toc104537979" w:history="1">
        <w:r w:rsidR="008C4AAD">
          <w:rPr>
            <w:rStyle w:val="a9"/>
            <w:rFonts w:ascii="仿宋_GB2312" w:eastAsia="仿宋_GB2312" w:hint="eastAsia"/>
            <w:b w:val="0"/>
            <w:sz w:val="32"/>
            <w:szCs w:val="32"/>
          </w:rPr>
          <w:t>四、 财政拨款支出预算安排情况</w:t>
        </w:r>
        <w:r w:rsidR="008C4AAD">
          <w:rPr>
            <w:rFonts w:ascii="仿宋_GB2312" w:eastAsia="仿宋_GB2312" w:hint="eastAsia"/>
            <w:b w:val="0"/>
            <w:sz w:val="32"/>
            <w:szCs w:val="32"/>
          </w:rPr>
          <w:tab/>
          <w:t>4</w:t>
        </w:r>
      </w:hyperlink>
    </w:p>
    <w:p w:rsidR="009C2AB9" w:rsidRDefault="00A14779">
      <w:pPr>
        <w:pStyle w:val="1"/>
        <w:rPr>
          <w:rFonts w:ascii="仿宋_GB2312" w:eastAsia="仿宋_GB2312" w:hAnsi="Calibri"/>
          <w:b w:val="0"/>
          <w:kern w:val="2"/>
          <w:sz w:val="32"/>
          <w:szCs w:val="32"/>
        </w:rPr>
      </w:pPr>
      <w:hyperlink w:anchor="_Toc104537980" w:history="1">
        <w:r w:rsidR="008C4AAD">
          <w:rPr>
            <w:rStyle w:val="a9"/>
            <w:rFonts w:ascii="仿宋_GB2312" w:eastAsia="仿宋_GB2312" w:hint="eastAsia"/>
            <w:b w:val="0"/>
            <w:sz w:val="32"/>
            <w:szCs w:val="32"/>
          </w:rPr>
          <w:t>五、 一般公共预算当年拨款情况说明</w:t>
        </w:r>
        <w:r w:rsidR="008C4AAD">
          <w:rPr>
            <w:rFonts w:ascii="仿宋_GB2312" w:eastAsia="仿宋_GB2312" w:hint="eastAsia"/>
            <w:b w:val="0"/>
            <w:sz w:val="32"/>
            <w:szCs w:val="32"/>
          </w:rPr>
          <w:tab/>
          <w:t>5</w:t>
        </w:r>
      </w:hyperlink>
    </w:p>
    <w:p w:rsidR="009C2AB9" w:rsidRDefault="00A14779">
      <w:pPr>
        <w:pStyle w:val="1"/>
        <w:rPr>
          <w:rFonts w:ascii="仿宋_GB2312" w:eastAsia="仿宋_GB2312" w:hAnsi="Calibri"/>
          <w:b w:val="0"/>
          <w:kern w:val="2"/>
          <w:sz w:val="32"/>
          <w:szCs w:val="32"/>
        </w:rPr>
      </w:pPr>
      <w:hyperlink w:anchor="_Toc104537981" w:history="1">
        <w:r w:rsidR="008C4AAD">
          <w:rPr>
            <w:rStyle w:val="a9"/>
            <w:rFonts w:ascii="仿宋_GB2312" w:eastAsia="仿宋_GB2312" w:hint="eastAsia"/>
            <w:b w:val="0"/>
            <w:sz w:val="32"/>
            <w:szCs w:val="32"/>
          </w:rPr>
          <w:t>六、 一般公共预算基本支出情况说明</w:t>
        </w:r>
        <w:r w:rsidR="008C4AAD">
          <w:rPr>
            <w:rFonts w:ascii="仿宋_GB2312" w:eastAsia="仿宋_GB2312" w:hint="eastAsia"/>
            <w:b w:val="0"/>
            <w:sz w:val="32"/>
            <w:szCs w:val="32"/>
          </w:rPr>
          <w:tab/>
          <w:t>6</w:t>
        </w:r>
      </w:hyperlink>
    </w:p>
    <w:p w:rsidR="009C2AB9" w:rsidRDefault="00A14779">
      <w:pPr>
        <w:pStyle w:val="1"/>
        <w:rPr>
          <w:rFonts w:ascii="仿宋_GB2312" w:eastAsia="仿宋_GB2312" w:hAnsi="Calibri"/>
          <w:b w:val="0"/>
          <w:kern w:val="2"/>
          <w:sz w:val="32"/>
          <w:szCs w:val="32"/>
        </w:rPr>
      </w:pPr>
      <w:hyperlink w:anchor="_Toc104537982" w:history="1">
        <w:r w:rsidR="008C4AAD">
          <w:rPr>
            <w:rStyle w:val="a9"/>
            <w:rFonts w:ascii="仿宋_GB2312" w:eastAsia="仿宋_GB2312" w:hint="eastAsia"/>
            <w:b w:val="0"/>
            <w:sz w:val="32"/>
            <w:szCs w:val="32"/>
          </w:rPr>
          <w:t>七、 政府性基金预算支出规模及变化情况说明</w:t>
        </w:r>
        <w:r w:rsidR="008C4AAD">
          <w:rPr>
            <w:rFonts w:ascii="仿宋_GB2312" w:eastAsia="仿宋_GB2312" w:hint="eastAsia"/>
            <w:b w:val="0"/>
            <w:sz w:val="32"/>
            <w:szCs w:val="32"/>
          </w:rPr>
          <w:tab/>
          <w:t>7</w:t>
        </w:r>
      </w:hyperlink>
    </w:p>
    <w:p w:rsidR="009C2AB9" w:rsidRDefault="008C4AAD">
      <w:pPr>
        <w:pStyle w:val="1"/>
        <w:rPr>
          <w:rFonts w:ascii="仿宋_GB2312" w:eastAsia="仿宋_GB2312"/>
          <w:b w:val="0"/>
          <w:sz w:val="32"/>
          <w:szCs w:val="32"/>
        </w:rPr>
      </w:pPr>
      <w:r>
        <w:rPr>
          <w:rFonts w:ascii="仿宋_GB2312" w:eastAsia="仿宋_GB2312" w:hint="eastAsia"/>
          <w:b w:val="0"/>
          <w:sz w:val="32"/>
          <w:szCs w:val="32"/>
        </w:rPr>
        <w:t>八、“三公”经费预算安排情况说明</w:t>
      </w:r>
      <w:r>
        <w:rPr>
          <w:rFonts w:ascii="仿宋_GB2312" w:eastAsia="仿宋_GB2312"/>
          <w:b w:val="0"/>
          <w:sz w:val="32"/>
          <w:szCs w:val="32"/>
        </w:rPr>
        <w:tab/>
      </w:r>
      <w:r>
        <w:rPr>
          <w:rFonts w:ascii="仿宋_GB2312" w:eastAsia="仿宋_GB2312" w:hint="eastAsia"/>
          <w:b w:val="0"/>
          <w:sz w:val="32"/>
          <w:szCs w:val="32"/>
        </w:rPr>
        <w:t>7</w:t>
      </w:r>
    </w:p>
    <w:p w:rsidR="009C2AB9" w:rsidRDefault="00A14779">
      <w:pPr>
        <w:pStyle w:val="1"/>
        <w:rPr>
          <w:rFonts w:ascii="仿宋_GB2312" w:eastAsia="仿宋_GB2312" w:hAnsi="Calibri"/>
          <w:b w:val="0"/>
          <w:kern w:val="2"/>
          <w:sz w:val="32"/>
          <w:szCs w:val="32"/>
        </w:rPr>
      </w:pPr>
      <w:hyperlink w:anchor="_Toc104537983" w:history="1">
        <w:r w:rsidR="008C4AAD">
          <w:rPr>
            <w:rStyle w:val="a9"/>
            <w:rFonts w:ascii="仿宋_GB2312" w:eastAsia="仿宋_GB2312" w:hint="eastAsia"/>
            <w:b w:val="0"/>
            <w:sz w:val="32"/>
            <w:szCs w:val="32"/>
          </w:rPr>
          <w:t>九、其他重要事项</w:t>
        </w:r>
        <w:bookmarkStart w:id="9" w:name="_GoBack"/>
        <w:bookmarkEnd w:id="9"/>
        <w:r w:rsidR="008C4AAD">
          <w:rPr>
            <w:rStyle w:val="a9"/>
            <w:rFonts w:ascii="仿宋_GB2312" w:eastAsia="仿宋_GB2312" w:hint="eastAsia"/>
            <w:b w:val="0"/>
            <w:sz w:val="32"/>
            <w:szCs w:val="32"/>
          </w:rPr>
          <w:t>的情况说明</w:t>
        </w:r>
        <w:r w:rsidR="008C4AAD">
          <w:rPr>
            <w:rFonts w:ascii="仿宋_GB2312" w:eastAsia="仿宋_GB2312"/>
            <w:b w:val="0"/>
            <w:sz w:val="32"/>
            <w:szCs w:val="32"/>
          </w:rPr>
          <w:tab/>
        </w:r>
        <w:r w:rsidR="008C4AAD">
          <w:rPr>
            <w:rFonts w:ascii="仿宋_GB2312" w:eastAsia="仿宋_GB2312" w:hint="eastAsia"/>
            <w:b w:val="0"/>
            <w:sz w:val="32"/>
            <w:szCs w:val="32"/>
          </w:rPr>
          <w:t>8</w:t>
        </w:r>
      </w:hyperlink>
    </w:p>
    <w:p w:rsidR="009C2AB9" w:rsidRDefault="00A14779">
      <w:pPr>
        <w:pStyle w:val="1"/>
        <w:rPr>
          <w:rFonts w:ascii="仿宋_GB2312" w:eastAsia="仿宋_GB2312" w:hAnsi="Calibri"/>
          <w:b w:val="0"/>
          <w:kern w:val="2"/>
          <w:sz w:val="32"/>
          <w:szCs w:val="32"/>
        </w:rPr>
      </w:pPr>
      <w:hyperlink w:anchor="_Toc104537984" w:history="1">
        <w:r w:rsidR="008C4AAD">
          <w:rPr>
            <w:rStyle w:val="a9"/>
            <w:rFonts w:ascii="仿宋_GB2312" w:eastAsia="仿宋_GB2312" w:hint="eastAsia"/>
            <w:b w:val="0"/>
            <w:sz w:val="32"/>
            <w:szCs w:val="32"/>
          </w:rPr>
          <w:t>十、名词解释</w:t>
        </w:r>
        <w:r w:rsidR="008C4AAD">
          <w:rPr>
            <w:rFonts w:ascii="仿宋_GB2312" w:eastAsia="仿宋_GB2312" w:hint="eastAsia"/>
            <w:b w:val="0"/>
            <w:sz w:val="32"/>
            <w:szCs w:val="32"/>
          </w:rPr>
          <w:tab/>
          <w:t>9</w:t>
        </w:r>
      </w:hyperlink>
    </w:p>
    <w:p w:rsidR="009C2AB9" w:rsidRDefault="008C4AAD">
      <w:r>
        <w:rPr>
          <w:rFonts w:ascii="Calibri" w:hAnsi="Calibri"/>
          <w:kern w:val="0"/>
          <w:sz w:val="22"/>
          <w:szCs w:val="22"/>
        </w:rPr>
        <w:fldChar w:fldCharType="end"/>
      </w:r>
    </w:p>
    <w:p w:rsidR="009C2AB9" w:rsidRDefault="009C2AB9">
      <w:pPr>
        <w:pStyle w:val="3"/>
        <w:tabs>
          <w:tab w:val="right" w:leader="dot" w:pos="8306"/>
        </w:tabs>
        <w:ind w:left="446"/>
      </w:pPr>
    </w:p>
    <w:p w:rsidR="009C2AB9" w:rsidRDefault="009C2AB9">
      <w:pPr>
        <w:pStyle w:val="a6"/>
        <w:spacing w:before="0" w:beforeAutospacing="0" w:after="0" w:afterAutospacing="0" w:line="600" w:lineRule="exact"/>
        <w:ind w:firstLineChars="200" w:firstLine="640"/>
        <w:jc w:val="both"/>
        <w:outlineLvl w:val="0"/>
        <w:rPr>
          <w:rStyle w:val="a7"/>
          <w:rFonts w:ascii="Times New Roman" w:eastAsia="黑体" w:hAnsi="Times New Roman"/>
          <w:b w:val="0"/>
          <w:bCs/>
          <w:color w:val="333333"/>
          <w:sz w:val="32"/>
          <w:szCs w:val="21"/>
        </w:rPr>
      </w:pPr>
    </w:p>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 w:rsidR="009C2AB9" w:rsidRDefault="009C2AB9">
      <w:pPr>
        <w:pStyle w:val="A08"/>
        <w:sectPr w:rsidR="009C2AB9">
          <w:footerReference w:type="default" r:id="rId16"/>
          <w:pgSz w:w="11906" w:h="16838"/>
          <w:pgMar w:top="1213" w:right="1800" w:bottom="1213" w:left="1800" w:header="851" w:footer="992" w:gutter="0"/>
          <w:pgNumType w:fmt="numberInDash" w:start="1"/>
          <w:cols w:space="0"/>
          <w:docGrid w:type="lines" w:linePitch="312"/>
        </w:sectPr>
      </w:pPr>
    </w:p>
    <w:p w:rsidR="009C2AB9" w:rsidRDefault="008C4AAD">
      <w:pPr>
        <w:pStyle w:val="A08"/>
      </w:pPr>
      <w:r>
        <w:rPr>
          <w:rFonts w:hint="eastAsia"/>
        </w:rPr>
        <w:lastRenderedPageBreak/>
        <w:t>乐山市就业创业促进中心</w:t>
      </w:r>
      <w:r>
        <w:br/>
      </w:r>
      <w:r>
        <w:rPr>
          <w:rFonts w:hint="eastAsia"/>
        </w:rPr>
        <w:t>关于2021年部门预算编制的说明</w:t>
      </w:r>
    </w:p>
    <w:p w:rsidR="009C2AB9" w:rsidRDefault="009C2AB9">
      <w:pPr>
        <w:spacing w:line="600" w:lineRule="exact"/>
        <w:ind w:firstLineChars="200" w:firstLine="640"/>
        <w:rPr>
          <w:rFonts w:ascii="仿宋_GB2312" w:eastAsia="仿宋_GB2312"/>
          <w:sz w:val="32"/>
          <w:szCs w:val="32"/>
        </w:rPr>
      </w:pPr>
    </w:p>
    <w:p w:rsidR="009C2AB9" w:rsidRDefault="008C4AAD">
      <w:pPr>
        <w:pStyle w:val="C01"/>
      </w:pPr>
      <w:r>
        <w:rPr>
          <w:rFonts w:hint="eastAsia"/>
        </w:rPr>
        <w:t>按照预算管理有关规定，目前部门预算的编制实行综合预算制度，即全部收入和支出都反映在预算中。</w:t>
      </w:r>
    </w:p>
    <w:p w:rsidR="009C2AB9" w:rsidRDefault="008C4AAD">
      <w:pPr>
        <w:pStyle w:val="B01"/>
        <w:numPr>
          <w:ilvl w:val="0"/>
          <w:numId w:val="0"/>
        </w:numPr>
        <w:ind w:firstLineChars="200" w:firstLine="640"/>
      </w:pPr>
      <w:r>
        <w:rPr>
          <w:rFonts w:hint="eastAsia"/>
        </w:rPr>
        <w:t>一、基本职能及主要工作</w:t>
      </w:r>
    </w:p>
    <w:p w:rsidR="009C2AB9" w:rsidRDefault="008C4AAD">
      <w:pPr>
        <w:spacing w:line="600" w:lineRule="exact"/>
        <w:ind w:firstLineChars="200" w:firstLine="640"/>
        <w:rPr>
          <w:rFonts w:ascii="楷体_GB2312" w:eastAsia="楷体_GB2312"/>
          <w:bCs/>
          <w:sz w:val="32"/>
        </w:rPr>
      </w:pPr>
      <w:r>
        <w:rPr>
          <w:rFonts w:ascii="楷体_GB2312" w:eastAsia="楷体_GB2312" w:hint="eastAsia"/>
          <w:bCs/>
          <w:sz w:val="32"/>
        </w:rPr>
        <w:t>(一）主要职责</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1.贯彻执行国家有关促进就业的方针、政策和法律、法规；参与制定并落实全市促进就业的政策措施。</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2.参与制定并落实全市促进就业的规划、计划，对就业与失业进行社会化管理。</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3.制定并实施全市公共就业服务计划。</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4.负责全市公共就业服务体系建设，组织开展政策咨询、职业指导、职业介绍等服务，组织实施就业援助。</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5.承担全市创业带动就业工作的组织、服务和实施。</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6.制定全市培训发展规划，承办全市职业技能培训、创业培训的组织、协调和服务。</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7.负责全市农村劳动力转移就业管理服务。</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8.负责全市失业保险服务管理工作，承办市本级失业保险业务。</w:t>
      </w:r>
    </w:p>
    <w:p w:rsidR="009C2AB9" w:rsidRDefault="008C4AA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9.负责全市公共就业服务信息化建设，组织开展劳动力资源调查、失业监测、综合统计。</w:t>
      </w:r>
    </w:p>
    <w:p w:rsidR="009C2AB9" w:rsidRDefault="008C4AAD">
      <w:pPr>
        <w:spacing w:line="600" w:lineRule="exact"/>
        <w:ind w:firstLineChars="200" w:firstLine="640"/>
      </w:pPr>
      <w:r>
        <w:rPr>
          <w:rFonts w:ascii="仿宋_GB2312" w:eastAsia="仿宋_GB2312" w:hAnsi="宋体" w:hint="eastAsia"/>
          <w:sz w:val="32"/>
          <w:szCs w:val="32"/>
        </w:rPr>
        <w:t>10.行使市人力资源和社会保障局赋予的其他职权，完成交办的其他工作。</w:t>
      </w:r>
    </w:p>
    <w:p w:rsidR="009C2AB9" w:rsidRDefault="008C4AAD">
      <w:pPr>
        <w:spacing w:line="60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lastRenderedPageBreak/>
        <w:t>（二）2021年工作打算</w:t>
      </w:r>
    </w:p>
    <w:p w:rsidR="009C2AB9" w:rsidRDefault="008C4AAD">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1.进一步加大惠企利民政策落实力度。</w:t>
      </w:r>
      <w:r>
        <w:rPr>
          <w:rFonts w:ascii="仿宋_GB2312" w:eastAsia="仿宋_GB2312" w:hAnsi="仿宋_GB2312" w:cs="仿宋_GB2312" w:hint="eastAsia"/>
          <w:sz w:val="32"/>
          <w:szCs w:val="32"/>
        </w:rPr>
        <w:t>加大</w:t>
      </w:r>
      <w:proofErr w:type="gramStart"/>
      <w:r>
        <w:rPr>
          <w:rFonts w:ascii="仿宋_GB2312" w:eastAsia="仿宋_GB2312" w:hAnsi="仿宋_GB2312" w:cs="仿宋_GB2312" w:hint="eastAsia"/>
          <w:sz w:val="32"/>
          <w:szCs w:val="32"/>
        </w:rPr>
        <w:t>援企稳岗工作</w:t>
      </w:r>
      <w:proofErr w:type="gramEnd"/>
      <w:r>
        <w:rPr>
          <w:rFonts w:ascii="仿宋_GB2312" w:eastAsia="仿宋_GB2312" w:hAnsi="仿宋_GB2312" w:cs="仿宋_GB2312" w:hint="eastAsia"/>
          <w:sz w:val="32"/>
          <w:szCs w:val="32"/>
        </w:rPr>
        <w:t>力度，加快落实</w:t>
      </w:r>
      <w:proofErr w:type="gramStart"/>
      <w:r>
        <w:rPr>
          <w:rFonts w:ascii="仿宋_GB2312" w:eastAsia="仿宋_GB2312" w:hAnsi="仿宋_GB2312" w:cs="仿宋_GB2312" w:hint="eastAsia"/>
          <w:sz w:val="32"/>
          <w:szCs w:val="32"/>
        </w:rPr>
        <w:t>企业稳岗返还</w:t>
      </w:r>
      <w:proofErr w:type="gramEnd"/>
      <w:r>
        <w:rPr>
          <w:rFonts w:ascii="仿宋_GB2312" w:eastAsia="仿宋_GB2312" w:hAnsi="仿宋_GB2312" w:cs="仿宋_GB2312" w:hint="eastAsia"/>
          <w:sz w:val="32"/>
          <w:szCs w:val="32"/>
        </w:rPr>
        <w:t>特别是困难企业</w:t>
      </w:r>
      <w:proofErr w:type="gramStart"/>
      <w:r>
        <w:rPr>
          <w:rFonts w:ascii="仿宋_GB2312" w:eastAsia="仿宋_GB2312" w:hAnsi="仿宋_GB2312" w:cs="仿宋_GB2312" w:hint="eastAsia"/>
          <w:sz w:val="32"/>
          <w:szCs w:val="32"/>
        </w:rPr>
        <w:t>的稳岗返还</w:t>
      </w:r>
      <w:proofErr w:type="gramEnd"/>
      <w:r>
        <w:rPr>
          <w:rFonts w:ascii="仿宋_GB2312" w:eastAsia="仿宋_GB2312" w:hAnsi="仿宋_GB2312" w:cs="仿宋_GB2312" w:hint="eastAsia"/>
          <w:sz w:val="32"/>
          <w:szCs w:val="32"/>
        </w:rPr>
        <w:t>政策。对符合条件的企业职工取得专业技术类职业资格证书后给与技能提升补贴。对困难企业及其职工主动服务，走出去，主动上门，帮助企业稳住岗位，渡过难关。充分利用信息化手段，通过全面启用四川公共就业创业服务管理信息系统V2.0，进一步规范失业保险待遇申领程序、简化办理手续材料，不断提升业务经办能力，实现全市失业保险业务“一窗办理，全网通办”和群众办理失业保险业务仅凭身份证和社保卡“只跑一次”的工作目标，及时取消领</w:t>
      </w:r>
      <w:proofErr w:type="gramStart"/>
      <w:r>
        <w:rPr>
          <w:rFonts w:ascii="仿宋_GB2312" w:eastAsia="仿宋_GB2312" w:hAnsi="仿宋_GB2312" w:cs="仿宋_GB2312" w:hint="eastAsia"/>
          <w:sz w:val="32"/>
          <w:szCs w:val="32"/>
        </w:rPr>
        <w:t>金人员</w:t>
      </w:r>
      <w:proofErr w:type="gramEnd"/>
      <w:r>
        <w:rPr>
          <w:rFonts w:ascii="仿宋_GB2312" w:eastAsia="仿宋_GB2312" w:hAnsi="仿宋_GB2312" w:cs="仿宋_GB2312" w:hint="eastAsia"/>
          <w:sz w:val="32"/>
          <w:szCs w:val="32"/>
        </w:rPr>
        <w:t>按月集中签到。通过与省级社银平台接口对接，实现取消现金业务、取消手工办理业务、取消基金支付银行手工报盘。</w:t>
      </w:r>
    </w:p>
    <w:p w:rsidR="009C2AB9" w:rsidRDefault="008C4AAD">
      <w:pPr>
        <w:spacing w:line="600" w:lineRule="exact"/>
        <w:ind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2.进一步提高培训的针对性和实效性。</w:t>
      </w:r>
      <w:r>
        <w:rPr>
          <w:rFonts w:ascii="仿宋_GB2312" w:eastAsia="仿宋_GB2312" w:hAnsi="仿宋_GB2312" w:cs="仿宋_GB2312" w:hint="eastAsia"/>
          <w:sz w:val="32"/>
          <w:szCs w:val="32"/>
        </w:rPr>
        <w:t>深入实施职业技能提升行动，全面推动项目制培训，</w:t>
      </w:r>
      <w:r>
        <w:rPr>
          <w:rFonts w:ascii="仿宋_GB2312" w:eastAsia="仿宋_GB2312" w:hAnsi="仿宋_GB2312" w:cs="仿宋_GB2312" w:hint="eastAsia"/>
          <w:color w:val="000000"/>
          <w:sz w:val="32"/>
          <w:szCs w:val="32"/>
        </w:rPr>
        <w:t>按市委市政府“旅游兴市、产业强市”工作要求，加大我市重点产业、特色品牌和新兴职业的职业技能培训力度。</w:t>
      </w:r>
      <w:r>
        <w:rPr>
          <w:rFonts w:ascii="仿宋_GB2312" w:eastAsia="仿宋_GB2312" w:hAnsi="仿宋_GB2312" w:cs="仿宋_GB2312" w:hint="eastAsia"/>
          <w:sz w:val="32"/>
          <w:szCs w:val="32"/>
        </w:rPr>
        <w:t>深入开展电子培训</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试点工作，依托电子社保卡线上渠道，面向我市参加劳务品牌职业技能培训人员推送培训课程，依托电子培训</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作为劳动者免垫付便捷享受职业技能培训服务这一载体，实现对职业技能培训的人员合理引导、实名培训服务、</w:t>
      </w:r>
      <w:proofErr w:type="gramStart"/>
      <w:r>
        <w:rPr>
          <w:rFonts w:ascii="仿宋_GB2312" w:eastAsia="仿宋_GB2312" w:hAnsi="仿宋_GB2312" w:cs="仿宋_GB2312" w:hint="eastAsia"/>
          <w:sz w:val="32"/>
          <w:szCs w:val="32"/>
        </w:rPr>
        <w:t>精确资金</w:t>
      </w:r>
      <w:proofErr w:type="gramEnd"/>
      <w:r>
        <w:rPr>
          <w:rFonts w:ascii="仿宋_GB2312" w:eastAsia="仿宋_GB2312" w:hAnsi="仿宋_GB2312" w:cs="仿宋_GB2312" w:hint="eastAsia"/>
          <w:sz w:val="32"/>
          <w:szCs w:val="32"/>
        </w:rPr>
        <w:t>监管、全局宏观分析，逐步形成以社保卡为载体的劳动者终身职业技能培训电子档案。依托信息化手段健全职业技能培训监管体系，着力解决培训工作中存在的监管力量不足、培训不实、为训</w:t>
      </w:r>
      <w:r>
        <w:rPr>
          <w:rFonts w:ascii="仿宋_GB2312" w:eastAsia="仿宋_GB2312" w:hAnsi="仿宋_GB2312" w:cs="仿宋_GB2312" w:hint="eastAsia"/>
          <w:sz w:val="32"/>
          <w:szCs w:val="32"/>
        </w:rPr>
        <w:lastRenderedPageBreak/>
        <w:t>而训、训后服务缺失等问题，全面筑牢风险防范，确保培训实效，逐步建立劳动者终生技能培训服务体系。</w:t>
      </w:r>
    </w:p>
    <w:p w:rsidR="009C2AB9" w:rsidRDefault="008C4AA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楷体_GB2312" w:cs="楷体_GB2312" w:hint="eastAsia"/>
          <w:sz w:val="32"/>
          <w:szCs w:val="32"/>
        </w:rPr>
        <w:t>3.进一步推进创业工作提质发展。</w:t>
      </w:r>
      <w:r>
        <w:rPr>
          <w:rFonts w:ascii="仿宋_GB2312" w:eastAsia="仿宋_GB2312" w:hAnsi="仿宋_GB2312" w:cs="仿宋_GB2312" w:hint="eastAsia"/>
          <w:sz w:val="32"/>
          <w:szCs w:val="32"/>
        </w:rPr>
        <w:t>加强与省局对应处室沟通，加强创业担保贷款工作的指导培训，增加创业担保贷款基金规模，推广纯信贷模式在更多银行经办，降低贷款门槛，简化贷款材料，扩大创业担保贷款信贷支持力度，确保创业担保贷款落实落地。加快返乡下乡创业示范市、县申报，制定市级创业园区的管理办法，打造高质量市级创业园区，有效发挥园区在创业创新工作中的支撑作用。更新发布乐山市创业项目地图，打造高校创业指导服务站和创业指导专家库，加大“乐创汇”</w:t>
      </w:r>
      <w:proofErr w:type="gramStart"/>
      <w:r>
        <w:rPr>
          <w:rFonts w:ascii="仿宋_GB2312" w:eastAsia="仿宋_GB2312" w:hAnsi="仿宋_GB2312" w:cs="仿宋_GB2312" w:hint="eastAsia"/>
          <w:sz w:val="32"/>
          <w:szCs w:val="32"/>
        </w:rPr>
        <w:t>等创业</w:t>
      </w:r>
      <w:proofErr w:type="gramEnd"/>
      <w:r>
        <w:rPr>
          <w:rFonts w:ascii="仿宋_GB2312" w:eastAsia="仿宋_GB2312" w:hAnsi="仿宋_GB2312" w:cs="仿宋_GB2312" w:hint="eastAsia"/>
          <w:sz w:val="32"/>
          <w:szCs w:val="32"/>
        </w:rPr>
        <w:t>活动力度，抓好返乡农民工、大学生等重点人群创业服务，实现创业要素、服务、项目对接，更好促进创业工作提质发展。</w:t>
      </w:r>
    </w:p>
    <w:p w:rsidR="009C2AB9" w:rsidRDefault="008C4AAD">
      <w:pPr>
        <w:pStyle w:val="a0"/>
        <w:spacing w:line="600" w:lineRule="exact"/>
        <w:ind w:firstLineChars="200" w:firstLine="640"/>
        <w:rPr>
          <w:rFonts w:ascii="仿宋_GB2312" w:eastAsia="仿宋_GB2312"/>
        </w:rPr>
      </w:pPr>
      <w:r>
        <w:rPr>
          <w:rFonts w:ascii="仿宋_GB2312" w:eastAsia="仿宋_GB2312" w:hAnsi="楷体_GB2312" w:cs="楷体_GB2312" w:hint="eastAsia"/>
          <w:sz w:val="32"/>
          <w:szCs w:val="32"/>
        </w:rPr>
        <w:t>4.进一步保障农村劳动力稳定就业。</w:t>
      </w:r>
      <w:r>
        <w:rPr>
          <w:rFonts w:ascii="仿宋_GB2312" w:eastAsia="仿宋_GB2312" w:hAnsi="仿宋_GB2312" w:cs="仿宋_GB2312" w:hint="eastAsia"/>
          <w:sz w:val="32"/>
          <w:szCs w:val="32"/>
        </w:rPr>
        <w:t>依托“就业在线”、</w:t>
      </w:r>
      <w:proofErr w:type="gramStart"/>
      <w:r>
        <w:rPr>
          <w:rFonts w:ascii="仿宋_GB2312" w:eastAsia="仿宋_GB2312" w:hAnsi="仿宋_GB2312" w:cs="仿宋_GB2312" w:hint="eastAsia"/>
          <w:sz w:val="32"/>
          <w:szCs w:val="32"/>
        </w:rPr>
        <w:t>乐就业</w:t>
      </w:r>
      <w:proofErr w:type="gramEnd"/>
      <w:r>
        <w:rPr>
          <w:rFonts w:ascii="仿宋_GB2312" w:eastAsia="仿宋_GB2312" w:hAnsi="仿宋_GB2312" w:cs="仿宋_GB2312" w:hint="eastAsia"/>
          <w:sz w:val="32"/>
          <w:szCs w:val="32"/>
        </w:rPr>
        <w:t>平台等平台，定期为未转移就业农村劳动力定向推送相匹配的岗位信息。建立农村劳务合作社+经营性人力资源服务机构+企业岗位工作机制，开展“点对点、门对门”订单式、定向式劳务输出。培育劳务经纪人，帮助农村劳动力实现就业。鼓励企业发展“就业红娘”，通过亲戚带亲戚、和乡邻带乡邻等方式到企业务工。</w:t>
      </w:r>
      <w:proofErr w:type="gramStart"/>
      <w:r>
        <w:rPr>
          <w:rFonts w:ascii="仿宋_GB2312" w:eastAsia="仿宋_GB2312" w:hAnsi="仿宋_GB2312" w:cs="仿宋_GB2312" w:hint="eastAsia"/>
          <w:sz w:val="32"/>
          <w:szCs w:val="32"/>
        </w:rPr>
        <w:t>依托村</w:t>
      </w:r>
      <w:proofErr w:type="gramEnd"/>
      <w:r>
        <w:rPr>
          <w:rFonts w:ascii="仿宋_GB2312" w:eastAsia="仿宋_GB2312" w:hAnsi="仿宋_GB2312" w:cs="仿宋_GB2312" w:hint="eastAsia"/>
          <w:sz w:val="32"/>
          <w:szCs w:val="32"/>
        </w:rPr>
        <w:t>两委、就业扶贫专员，动态掌握已转移农村劳动力返乡回流情况，及时提供符合农村劳动力特点的就业岗位，统筹人社、林业、水务、交通等部门资源，储备一批公益性岗位，进一步稳定就业基本盘。</w:t>
      </w:r>
    </w:p>
    <w:p w:rsidR="009C2AB9" w:rsidRDefault="008C4AAD">
      <w:pPr>
        <w:pStyle w:val="B01"/>
        <w:numPr>
          <w:ilvl w:val="0"/>
          <w:numId w:val="0"/>
        </w:numPr>
        <w:ind w:firstLineChars="200" w:firstLine="640"/>
      </w:pPr>
      <w:r>
        <w:rPr>
          <w:rFonts w:hint="eastAsia"/>
        </w:rPr>
        <w:lastRenderedPageBreak/>
        <w:t>二、部门概况</w:t>
      </w:r>
    </w:p>
    <w:p w:rsidR="009C2AB9" w:rsidRDefault="008C4AAD">
      <w:pPr>
        <w:spacing w:line="600" w:lineRule="exact"/>
        <w:ind w:firstLineChars="200" w:firstLine="640"/>
      </w:pPr>
      <w:r>
        <w:rPr>
          <w:rFonts w:ascii="华文仿宋" w:eastAsia="华文仿宋" w:hAnsi="华文仿宋" w:cs="华文仿宋" w:hint="eastAsia"/>
          <w:sz w:val="32"/>
          <w:szCs w:val="32"/>
        </w:rPr>
        <w:t>乐山市就业创业促进中心是全额拨款的一级预算单位，为参照公务员法管理的事业单位，主管部门是乐山市人力资源和社会保障局，现有在职职工为30人。</w:t>
      </w:r>
    </w:p>
    <w:p w:rsidR="009C2AB9" w:rsidRDefault="008C4AAD">
      <w:pPr>
        <w:pStyle w:val="B01"/>
        <w:numPr>
          <w:ilvl w:val="0"/>
          <w:numId w:val="0"/>
        </w:numPr>
        <w:ind w:firstLineChars="200" w:firstLine="640"/>
      </w:pPr>
      <w:r>
        <w:rPr>
          <w:rFonts w:hint="eastAsia"/>
        </w:rPr>
        <w:t>三、收支预算总体情况</w:t>
      </w:r>
    </w:p>
    <w:p w:rsidR="009C2AB9" w:rsidRDefault="008C4AAD">
      <w:pPr>
        <w:pStyle w:val="C01"/>
      </w:pPr>
      <w:r>
        <w:rPr>
          <w:rFonts w:hint="eastAsia"/>
        </w:rPr>
        <w:t>按照综合预算的原则，</w:t>
      </w:r>
      <w:r>
        <w:rPr>
          <w:rFonts w:hAnsi="华文仿宋" w:cs="华文仿宋" w:hint="eastAsia"/>
        </w:rPr>
        <w:t>乐山市就业创业促进中心</w:t>
      </w:r>
      <w:r>
        <w:rPr>
          <w:rFonts w:hint="eastAsia"/>
        </w:rPr>
        <w:t>所有收入和支出均纳入部门预算管理。</w:t>
      </w:r>
    </w:p>
    <w:p w:rsidR="009C2AB9" w:rsidRDefault="008C4AAD">
      <w:pPr>
        <w:pStyle w:val="C01"/>
        <w:rPr>
          <w:rStyle w:val="B10234Char"/>
        </w:rPr>
      </w:pPr>
      <w:r>
        <w:rPr>
          <w:rFonts w:hint="eastAsia"/>
        </w:rPr>
        <w:t>2021年</w:t>
      </w:r>
      <w:r>
        <w:rPr>
          <w:rFonts w:hAnsi="华文仿宋" w:cs="华文仿宋" w:hint="eastAsia"/>
        </w:rPr>
        <w:t>乐山市就业创业促进中心</w:t>
      </w:r>
      <w:r>
        <w:rPr>
          <w:rFonts w:hint="eastAsia"/>
        </w:rPr>
        <w:t>收入预算总额为536.73万元，较上年预算数551.51万元减少14.78万元。其中：当年财政拨款收入536.73万元，</w:t>
      </w:r>
      <w:r>
        <w:rPr>
          <w:rStyle w:val="B10234Char"/>
          <w:rFonts w:hint="eastAsia"/>
        </w:rPr>
        <w:t>事业收入0万元，事业单位经营收入0万元，其他收入0万元，上年结转收入0万元。</w:t>
      </w:r>
    </w:p>
    <w:p w:rsidR="009C2AB9" w:rsidRDefault="008C4AAD">
      <w:pPr>
        <w:pStyle w:val="C01"/>
      </w:pPr>
      <w:r>
        <w:rPr>
          <w:rFonts w:hint="eastAsia"/>
        </w:rPr>
        <w:t>相应安排支出预算536.73万元，其中：基本支出预算487.06万元（人员经费323.39万元，公用经费163.67万元），项目支出预算49.67万元。</w:t>
      </w:r>
    </w:p>
    <w:p w:rsidR="009C2AB9" w:rsidRDefault="008C4AAD">
      <w:pPr>
        <w:pStyle w:val="B01"/>
        <w:numPr>
          <w:ilvl w:val="0"/>
          <w:numId w:val="0"/>
        </w:numPr>
        <w:ind w:firstLineChars="200" w:firstLine="640"/>
      </w:pPr>
      <w:r>
        <w:rPr>
          <w:rFonts w:hint="eastAsia"/>
        </w:rPr>
        <w:t>四、财政拨款支出预算安排情况</w:t>
      </w:r>
    </w:p>
    <w:p w:rsidR="009C2AB9" w:rsidRDefault="008C4AAD">
      <w:pPr>
        <w:pStyle w:val="C01"/>
      </w:pPr>
      <w:r>
        <w:rPr>
          <w:rFonts w:ascii="华文仿宋" w:eastAsia="华文仿宋" w:hAnsi="华文仿宋" w:cs="华文仿宋" w:hint="eastAsia"/>
        </w:rPr>
        <w:t>乐山市就业创业促进中心</w:t>
      </w:r>
      <w:r>
        <w:rPr>
          <w:rFonts w:hint="eastAsia"/>
        </w:rPr>
        <w:t>2021年财政拨款收支总预算536.73万元，主要用于保障该部门机构正常运转、完成日常工作任务以及承担就业事业发展相关工作。其中：</w:t>
      </w:r>
    </w:p>
    <w:p w:rsidR="009C2AB9" w:rsidRDefault="008C4AAD">
      <w:pPr>
        <w:pStyle w:val="C01"/>
      </w:pPr>
      <w:r>
        <w:rPr>
          <w:rFonts w:hint="eastAsia"/>
        </w:rPr>
        <w:t>基本支出，是用于保障</w:t>
      </w:r>
      <w:r>
        <w:rPr>
          <w:rFonts w:ascii="华文仿宋" w:eastAsia="华文仿宋" w:hAnsi="华文仿宋" w:cs="华文仿宋" w:hint="eastAsia"/>
        </w:rPr>
        <w:t>乐山市就业创业促进中心</w:t>
      </w:r>
      <w:r>
        <w:rPr>
          <w:rFonts w:hint="eastAsia"/>
        </w:rPr>
        <w:t>正常运转、完成日常工作任务的支出，包括基本工资、津贴补贴等人员经费以及办公费、印刷费、水电费、公务用车运行维护费等公用经费。</w:t>
      </w:r>
    </w:p>
    <w:p w:rsidR="009C2AB9" w:rsidRDefault="008C4AAD">
      <w:pPr>
        <w:pStyle w:val="C01"/>
      </w:pPr>
      <w:r>
        <w:rPr>
          <w:rFonts w:hint="eastAsia"/>
        </w:rPr>
        <w:t>项目支出，是用于保障</w:t>
      </w:r>
      <w:r>
        <w:rPr>
          <w:rFonts w:ascii="华文仿宋" w:eastAsia="华文仿宋" w:hAnsi="华文仿宋" w:cs="华文仿宋" w:hint="eastAsia"/>
        </w:rPr>
        <w:t>乐山市就业创业促进中心</w:t>
      </w:r>
      <w:r>
        <w:rPr>
          <w:rFonts w:hint="eastAsia"/>
        </w:rPr>
        <w:t>为完成</w:t>
      </w:r>
      <w:r>
        <w:rPr>
          <w:rFonts w:hint="eastAsia"/>
        </w:rPr>
        <w:lastRenderedPageBreak/>
        <w:t>特定的行政工作任务或事业发展目标的支出。</w:t>
      </w:r>
    </w:p>
    <w:p w:rsidR="009C2AB9" w:rsidRDefault="008C4AAD">
      <w:pPr>
        <w:pStyle w:val="B01"/>
        <w:numPr>
          <w:ilvl w:val="0"/>
          <w:numId w:val="0"/>
        </w:numPr>
        <w:ind w:firstLineChars="200" w:firstLine="640"/>
      </w:pPr>
      <w:r>
        <w:rPr>
          <w:rFonts w:hint="eastAsia"/>
        </w:rPr>
        <w:t>五、一般公共预算当年拨款情况说明</w:t>
      </w:r>
    </w:p>
    <w:p w:rsidR="009C2AB9" w:rsidRDefault="008C4AAD">
      <w:pPr>
        <w:pStyle w:val="B02"/>
        <w:numPr>
          <w:ilvl w:val="0"/>
          <w:numId w:val="0"/>
        </w:numPr>
        <w:ind w:firstLineChars="200" w:firstLine="640"/>
      </w:pPr>
      <w:r>
        <w:rPr>
          <w:rFonts w:hint="eastAsia"/>
        </w:rPr>
        <w:t>（一）一般公共预算当年拨款规模及变化情况</w:t>
      </w:r>
    </w:p>
    <w:p w:rsidR="009C2AB9" w:rsidRDefault="008C4AAD">
      <w:pPr>
        <w:pStyle w:val="C01"/>
        <w:rPr>
          <w:rStyle w:val="A11Char"/>
          <w:sz w:val="32"/>
          <w:szCs w:val="32"/>
        </w:rPr>
      </w:pPr>
      <w:r>
        <w:rPr>
          <w:rFonts w:ascii="华文仿宋" w:eastAsia="华文仿宋" w:hAnsi="华文仿宋" w:cs="华文仿宋" w:hint="eastAsia"/>
        </w:rPr>
        <w:t>乐山市就业创业促进中心</w:t>
      </w:r>
      <w:r>
        <w:rPr>
          <w:rFonts w:hint="eastAsia"/>
        </w:rPr>
        <w:t>2021年一般公共预算当年拨款536.73万元，较上年预算数551.51万元减少14.78万元。</w:t>
      </w:r>
      <w:r>
        <w:rPr>
          <w:rStyle w:val="A11Char"/>
          <w:rFonts w:hint="eastAsia"/>
          <w:sz w:val="32"/>
          <w:szCs w:val="32"/>
        </w:rPr>
        <w:t>主要是减少了公共就业创业服务大厅场地装修费。</w:t>
      </w:r>
    </w:p>
    <w:p w:rsidR="009C2AB9" w:rsidRDefault="008C4AAD">
      <w:pPr>
        <w:pStyle w:val="B02"/>
        <w:numPr>
          <w:ilvl w:val="0"/>
          <w:numId w:val="0"/>
        </w:numPr>
        <w:ind w:firstLineChars="200" w:firstLine="640"/>
      </w:pPr>
      <w:r>
        <w:rPr>
          <w:rFonts w:hint="eastAsia"/>
        </w:rPr>
        <w:t>（二）一般公共预算当年拨款结构情况</w:t>
      </w:r>
    </w:p>
    <w:p w:rsidR="009C2AB9" w:rsidRDefault="008C4AAD">
      <w:pPr>
        <w:pStyle w:val="C01"/>
      </w:pPr>
      <w:r>
        <w:rPr>
          <w:rFonts w:hint="eastAsia"/>
        </w:rPr>
        <w:t>社会保障和就业支出483.68万元，占90.12%；卫生健康支出13.10万元，占2.44%；住房保障支出39.95万元，占7.44%。</w:t>
      </w:r>
    </w:p>
    <w:p w:rsidR="009C2AB9" w:rsidRDefault="008C4AAD">
      <w:pPr>
        <w:pStyle w:val="B02"/>
        <w:numPr>
          <w:ilvl w:val="0"/>
          <w:numId w:val="0"/>
        </w:numPr>
        <w:ind w:firstLineChars="200" w:firstLine="640"/>
      </w:pPr>
      <w:r>
        <w:rPr>
          <w:rFonts w:hint="eastAsia"/>
        </w:rPr>
        <w:t>（三）一般公共预算当年拨款具体使用情况</w:t>
      </w:r>
    </w:p>
    <w:p w:rsidR="009C2AB9" w:rsidRDefault="008C4AAD">
      <w:pPr>
        <w:pStyle w:val="C01"/>
      </w:pPr>
      <w:r>
        <w:rPr>
          <w:rFonts w:hint="eastAsia"/>
        </w:rPr>
        <w:t>1.社会保障和就业支出（类）人力资源和社会保障管理事务（款）行政运行（项）:2021年预算数为381.40万元，主要用于：机关及</w:t>
      </w:r>
      <w:proofErr w:type="gramStart"/>
      <w:r>
        <w:rPr>
          <w:rFonts w:hint="eastAsia"/>
        </w:rPr>
        <w:t>参公管理</w:t>
      </w:r>
      <w:proofErr w:type="gramEnd"/>
      <w:r>
        <w:rPr>
          <w:rFonts w:hint="eastAsia"/>
        </w:rPr>
        <w:t>事业单位单位正常运转的基本支出，包括基本工资、津贴补贴、奖金、其他社会保障缴费等人员经费以及办公费、印刷费、水电费、差旅费、维修（护）费、会议费、公务接待费、工会经费、福利费、其他交通费、其他商品服务支出等公用经费。</w:t>
      </w:r>
    </w:p>
    <w:p w:rsidR="009C2AB9" w:rsidRDefault="008C4AAD">
      <w:pPr>
        <w:pStyle w:val="C01"/>
      </w:pPr>
      <w:r>
        <w:rPr>
          <w:rFonts w:hint="eastAsia"/>
        </w:rPr>
        <w:t>2.社会保障和就业支出（类）人力资源和社会保障管理事务（款）就业管理事务（项）:2021年预算数为36.07万元，主要用于：机关及</w:t>
      </w:r>
      <w:proofErr w:type="gramStart"/>
      <w:r>
        <w:rPr>
          <w:rFonts w:hint="eastAsia"/>
        </w:rPr>
        <w:t>参公管理</w:t>
      </w:r>
      <w:proofErr w:type="gramEnd"/>
      <w:r>
        <w:rPr>
          <w:rFonts w:hint="eastAsia"/>
        </w:rPr>
        <w:t>事业单位开展财政综合业务、预决算编审等未单独设置项级科目的专门性财政管理工作的项目支出。</w:t>
      </w:r>
    </w:p>
    <w:p w:rsidR="009C2AB9" w:rsidRDefault="008C4AAD">
      <w:pPr>
        <w:pStyle w:val="C01"/>
      </w:pPr>
      <w:r>
        <w:rPr>
          <w:rFonts w:hint="eastAsia"/>
        </w:rPr>
        <w:t>3.社会保障和就业支出（类）人力资源和社会保障管理</w:t>
      </w:r>
      <w:r>
        <w:rPr>
          <w:rFonts w:hint="eastAsia"/>
        </w:rPr>
        <w:lastRenderedPageBreak/>
        <w:t>事务（款）其他人力资源和社会保障管理事务支出（项）:2021年预算数为13.60万元，主要用于：开展其他财政事务方面专门性工作任务的项目支出。</w:t>
      </w:r>
    </w:p>
    <w:p w:rsidR="009C2AB9" w:rsidRDefault="008C4AAD">
      <w:pPr>
        <w:pStyle w:val="C01"/>
      </w:pPr>
      <w:r>
        <w:rPr>
          <w:rFonts w:hint="eastAsia"/>
        </w:rPr>
        <w:t>4.社会保障和就业（类）行政事业单位养老支出（款）机关事业单位基本养老保险缴费支出（项）:2021年预算数为34.35万元，主要用于：</w:t>
      </w:r>
      <w:r>
        <w:rPr>
          <w:rFonts w:ascii="Times New Roman" w:hAnsi="Times New Roman"/>
          <w:color w:val="000000"/>
        </w:rPr>
        <w:t>机关事业单位实施养老保险制度由单位缴纳的基本养老保险费支出。</w:t>
      </w:r>
    </w:p>
    <w:p w:rsidR="009C2AB9" w:rsidRDefault="008C4AAD">
      <w:pPr>
        <w:pStyle w:val="C01"/>
        <w:rPr>
          <w:rFonts w:ascii="Times New Roman" w:hAnsi="Times New Roman"/>
          <w:color w:val="000000"/>
        </w:rPr>
      </w:pPr>
      <w:r>
        <w:rPr>
          <w:rFonts w:hint="eastAsia"/>
        </w:rPr>
        <w:t>5.社会保障和就业（类）行政事业单位养老支出（款）机关事业单位职业年金缴费支出（项）:2021年预算数为17.18万元，主要用于：</w:t>
      </w:r>
      <w:r>
        <w:rPr>
          <w:rFonts w:ascii="Times New Roman" w:hAnsi="Times New Roman"/>
          <w:color w:val="000000"/>
        </w:rPr>
        <w:t>机关事业单位实施养老保险制度由单位缴纳的职业年金支出。</w:t>
      </w:r>
    </w:p>
    <w:p w:rsidR="009C2AB9" w:rsidRDefault="008C4AAD">
      <w:pPr>
        <w:pStyle w:val="C01"/>
        <w:rPr>
          <w:rFonts w:ascii="Times New Roman" w:hAnsi="Times New Roman"/>
          <w:color w:val="000000"/>
        </w:rPr>
      </w:pPr>
      <w:r>
        <w:rPr>
          <w:rFonts w:hint="eastAsia"/>
        </w:rPr>
        <w:t>6.社会保障和就业（类）行政事业单位养老支出（款）其他行政事业单位养老支出（项）:2021年预算数为1.08万元，主要用于：</w:t>
      </w:r>
      <w:r>
        <w:rPr>
          <w:rFonts w:ascii="Times New Roman" w:hAnsi="Times New Roman"/>
          <w:color w:val="000000"/>
        </w:rPr>
        <w:t>退休人员公用经费支出。</w:t>
      </w:r>
    </w:p>
    <w:p w:rsidR="009C2AB9" w:rsidRDefault="008C4AAD">
      <w:pPr>
        <w:pStyle w:val="C01"/>
      </w:pPr>
      <w:r>
        <w:rPr>
          <w:rFonts w:hint="eastAsia"/>
        </w:rPr>
        <w:t>7.卫生健康支出（类）行政事业单位医疗（款）行政单位医疗（项）:2021年预算数为13.10万元，主要用于：机关及</w:t>
      </w:r>
      <w:proofErr w:type="gramStart"/>
      <w:r>
        <w:rPr>
          <w:rFonts w:hint="eastAsia"/>
        </w:rPr>
        <w:t>参公管理</w:t>
      </w:r>
      <w:proofErr w:type="gramEnd"/>
      <w:r>
        <w:rPr>
          <w:rFonts w:hint="eastAsia"/>
        </w:rPr>
        <w:t>事业单位基本医疗保险缴费支出。</w:t>
      </w:r>
    </w:p>
    <w:p w:rsidR="009C2AB9" w:rsidRDefault="008C4AAD">
      <w:pPr>
        <w:pStyle w:val="C01"/>
      </w:pPr>
      <w:r>
        <w:rPr>
          <w:rFonts w:hint="eastAsia"/>
        </w:rPr>
        <w:t>8.住房保障支出（类）住房改革支出（款）住房公积金（项）:2021年预算数为39.95万元，主要用于：部门按人力资源和社会保障部、财政部规定的基本工资和津贴补贴以及规定比例为职工缴纳的住房公积金支出。</w:t>
      </w:r>
    </w:p>
    <w:p w:rsidR="009C2AB9" w:rsidRDefault="008C4AAD">
      <w:pPr>
        <w:pStyle w:val="B01"/>
        <w:numPr>
          <w:ilvl w:val="0"/>
          <w:numId w:val="0"/>
        </w:numPr>
        <w:ind w:firstLineChars="200" w:firstLine="640"/>
      </w:pPr>
      <w:r>
        <w:rPr>
          <w:rFonts w:hint="eastAsia"/>
        </w:rPr>
        <w:t>六、一般公共预算基本支出情况说明</w:t>
      </w:r>
    </w:p>
    <w:p w:rsidR="009C2AB9" w:rsidRDefault="008C4AAD">
      <w:pPr>
        <w:pStyle w:val="C01"/>
      </w:pPr>
      <w:r>
        <w:rPr>
          <w:rFonts w:hint="eastAsia"/>
        </w:rPr>
        <w:t>乐山市就业创业促进中心2021年一般公共预算基本支出487.06万元，其中：</w:t>
      </w:r>
    </w:p>
    <w:p w:rsidR="009C2AB9" w:rsidRDefault="008C4AAD">
      <w:pPr>
        <w:pStyle w:val="C01"/>
        <w:rPr>
          <w:highlight w:val="cyan"/>
        </w:rPr>
      </w:pPr>
      <w:r>
        <w:rPr>
          <w:rFonts w:hint="eastAsia"/>
        </w:rPr>
        <w:lastRenderedPageBreak/>
        <w:t>人员经费323.39万元，主要包括：基本工资、津贴补贴、奖金、伙食补助费、绩效工资、机关事业单位基本养老保险缴费、职业年金缴费、职工基本医疗保险缴费、其他社会保障缴费、住房公积金、其他工资福利支出、离休费、抚恤金、生活补助、其他对个人和家庭的补助支出。</w:t>
      </w:r>
    </w:p>
    <w:p w:rsidR="009C2AB9" w:rsidRDefault="008C4AAD">
      <w:pPr>
        <w:pStyle w:val="C01"/>
      </w:pPr>
      <w:r>
        <w:rPr>
          <w:rFonts w:hint="eastAsia"/>
        </w:rPr>
        <w:t>公用经费163.67万元，主要包括：办公费、印刷费、水费、电费、邮电费、差旅费、维修（护）费、会议费、培训费、公务接待费、劳务费、工会经费、福利费、公务用车运行维护费、其他交通费、其他商品和服务支出。</w:t>
      </w:r>
    </w:p>
    <w:p w:rsidR="009C2AB9" w:rsidRDefault="008C4AAD">
      <w:pPr>
        <w:pStyle w:val="B01"/>
        <w:numPr>
          <w:ilvl w:val="0"/>
          <w:numId w:val="0"/>
        </w:numPr>
        <w:ind w:left="637"/>
      </w:pPr>
      <w:r>
        <w:rPr>
          <w:rFonts w:hint="eastAsia"/>
        </w:rPr>
        <w:t>七、政府性基金预算支出规模及变化情况说明</w:t>
      </w:r>
    </w:p>
    <w:p w:rsidR="009C2AB9" w:rsidRDefault="008C4AAD">
      <w:pPr>
        <w:pStyle w:val="C01"/>
        <w:rPr>
          <w:rFonts w:hAnsi="宋体" w:cs="宋体"/>
          <w:kern w:val="0"/>
        </w:rPr>
      </w:pPr>
      <w:r>
        <w:rPr>
          <w:rFonts w:hAnsi="宋体" w:cs="宋体" w:hint="eastAsia"/>
          <w:kern w:val="0"/>
        </w:rPr>
        <w:t>乐山市就业创业促进中心20</w:t>
      </w:r>
      <w:r>
        <w:rPr>
          <w:rFonts w:hAnsi="宋体" w:cs="宋体"/>
          <w:kern w:val="0"/>
        </w:rPr>
        <w:t>2</w:t>
      </w:r>
      <w:r>
        <w:rPr>
          <w:rFonts w:hAnsi="宋体" w:cs="宋体" w:hint="eastAsia"/>
          <w:kern w:val="0"/>
        </w:rPr>
        <w:t>1年无政府性基金收入和支出预算。</w:t>
      </w:r>
    </w:p>
    <w:p w:rsidR="009C2AB9" w:rsidRDefault="008C4AAD">
      <w:pPr>
        <w:pStyle w:val="C01"/>
      </w:pPr>
      <w:r>
        <w:rPr>
          <w:rFonts w:ascii="黑体" w:eastAsia="黑体" w:hint="eastAsia"/>
        </w:rPr>
        <w:t>八、“三公”经费预算安排情况说明</w:t>
      </w:r>
    </w:p>
    <w:p w:rsidR="009C2AB9" w:rsidRDefault="008C4AAD">
      <w:pPr>
        <w:pStyle w:val="A01"/>
        <w:ind w:firstLineChars="200" w:firstLine="640"/>
        <w:rPr>
          <w:rFonts w:ascii="仿宋_GB2312" w:eastAsia="仿宋_GB2312" w:hAnsi="仿宋" w:cs="仿宋"/>
        </w:rPr>
      </w:pPr>
      <w:r>
        <w:rPr>
          <w:rFonts w:ascii="仿宋_GB2312" w:eastAsia="仿宋_GB2312" w:hint="eastAsia"/>
        </w:rPr>
        <w:t>乐山市就业创业促进中心2021年“三公”经费预算数</w:t>
      </w:r>
      <w:r>
        <w:rPr>
          <w:rStyle w:val="A01Char"/>
          <w:rFonts w:ascii="仿宋_GB2312" w:eastAsia="仿宋_GB2312" w:hAnsi="仿宋" w:cs="仿宋" w:hint="eastAsia"/>
        </w:rPr>
        <w:t>5.06万元，与上年“三公”经费预算数5.06万元</w:t>
      </w:r>
      <w:r>
        <w:rPr>
          <w:rFonts w:ascii="仿宋_GB2312" w:eastAsia="仿宋_GB2312" w:hAnsi="仿宋" w:cs="仿宋" w:hint="eastAsia"/>
        </w:rPr>
        <w:t>持平。其中财政拨款安排“三公”经费5.06万元。含公务接待费5.06万元，</w:t>
      </w:r>
      <w:r>
        <w:rPr>
          <w:rStyle w:val="A01Char"/>
          <w:rFonts w:ascii="仿宋_GB2312" w:eastAsia="仿宋_GB2312" w:hAnsi="仿宋" w:cs="仿宋" w:hint="eastAsia"/>
        </w:rPr>
        <w:t>因公出国（境）经费0万元，公务用车购置及</w:t>
      </w:r>
      <w:r>
        <w:rPr>
          <w:rFonts w:ascii="仿宋_GB2312" w:eastAsia="仿宋_GB2312" w:hAnsi="仿宋" w:cs="仿宋" w:hint="eastAsia"/>
        </w:rPr>
        <w:t>运行维护费0万元。</w:t>
      </w:r>
    </w:p>
    <w:p w:rsidR="009C2AB9" w:rsidRDefault="008C4AAD">
      <w:pPr>
        <w:pStyle w:val="A01"/>
        <w:ind w:firstLineChars="200" w:firstLine="640"/>
        <w:rPr>
          <w:rFonts w:ascii="仿宋_GB2312" w:eastAsia="仿宋_GB2312"/>
        </w:rPr>
      </w:pPr>
      <w:r>
        <w:rPr>
          <w:rFonts w:ascii="仿宋_GB2312" w:eastAsia="仿宋_GB2312" w:hAnsi="仿宋" w:cs="仿宋" w:hint="eastAsia"/>
        </w:rPr>
        <w:t>1. 因公出国（境）经费预算0万元，较上年预算无变化。</w:t>
      </w:r>
    </w:p>
    <w:p w:rsidR="009C2AB9" w:rsidRDefault="008C4AAD">
      <w:pPr>
        <w:pStyle w:val="C01"/>
      </w:pPr>
      <w:r>
        <w:rPr>
          <w:rFonts w:hint="eastAsia"/>
        </w:rPr>
        <w:t>2.公务</w:t>
      </w:r>
      <w:proofErr w:type="gramStart"/>
      <w:r>
        <w:rPr>
          <w:rFonts w:hint="eastAsia"/>
        </w:rPr>
        <w:t>接待费较上年</w:t>
      </w:r>
      <w:proofErr w:type="gramEnd"/>
      <w:r>
        <w:rPr>
          <w:rFonts w:hint="eastAsia"/>
        </w:rPr>
        <w:t>预算持平。</w:t>
      </w:r>
    </w:p>
    <w:p w:rsidR="009C2AB9" w:rsidRDefault="008C4AAD">
      <w:pPr>
        <w:pStyle w:val="C01"/>
      </w:pPr>
      <w:r>
        <w:rPr>
          <w:rFonts w:hint="eastAsia"/>
        </w:rPr>
        <w:t>2021年公务接待</w:t>
      </w:r>
      <w:proofErr w:type="gramStart"/>
      <w:r>
        <w:rPr>
          <w:rFonts w:hint="eastAsia"/>
        </w:rPr>
        <w:t>费计划</w:t>
      </w:r>
      <w:proofErr w:type="gramEnd"/>
      <w:r>
        <w:rPr>
          <w:rFonts w:hint="eastAsia"/>
        </w:rPr>
        <w:t>用于接待市内外因公来我单位办理就业创业事务人员的餐费开支。</w:t>
      </w:r>
    </w:p>
    <w:p w:rsidR="009C2AB9" w:rsidRDefault="008C4AAD">
      <w:pPr>
        <w:pStyle w:val="07"/>
        <w:ind w:firstLine="640"/>
        <w:rPr>
          <w:rFonts w:ascii="仿宋_GB2312" w:eastAsia="仿宋_GB2312" w:hAnsi="仿宋" w:cs="仿宋"/>
        </w:rPr>
      </w:pPr>
      <w:r>
        <w:rPr>
          <w:rFonts w:ascii="仿宋_GB2312" w:eastAsia="仿宋_GB2312" w:hAnsi="仿宋" w:cs="仿宋" w:hint="eastAsia"/>
        </w:rPr>
        <w:t>3.公务用车购置及运行维护费预算0万元，较上年预算</w:t>
      </w:r>
      <w:r>
        <w:rPr>
          <w:rFonts w:ascii="仿宋_GB2312" w:eastAsia="仿宋_GB2312" w:hAnsi="仿宋" w:cs="仿宋" w:hint="eastAsia"/>
        </w:rPr>
        <w:lastRenderedPageBreak/>
        <w:t>无变化。</w:t>
      </w:r>
    </w:p>
    <w:p w:rsidR="009C2AB9" w:rsidRDefault="008C4AAD">
      <w:pPr>
        <w:pStyle w:val="07"/>
        <w:ind w:firstLine="640"/>
        <w:rPr>
          <w:rFonts w:ascii="仿宋" w:eastAsia="仿宋" w:hAnsi="仿宋" w:cs="仿宋"/>
        </w:rPr>
      </w:pPr>
      <w:r>
        <w:rPr>
          <w:rFonts w:ascii="仿宋" w:eastAsia="仿宋" w:hAnsi="仿宋" w:cs="仿宋" w:hint="eastAsia"/>
        </w:rPr>
        <w:t>单位现有公务用车1辆，其中：轿车1辆，越野车0辆，多功能乘用车0辆。</w:t>
      </w:r>
    </w:p>
    <w:p w:rsidR="009C2AB9" w:rsidRDefault="008C4AAD">
      <w:pPr>
        <w:pStyle w:val="07"/>
        <w:ind w:firstLine="640"/>
        <w:rPr>
          <w:rFonts w:ascii="仿宋_GB2312" w:eastAsia="仿宋_GB2312" w:hAnsi="仿宋" w:cs="仿宋"/>
        </w:rPr>
      </w:pPr>
      <w:r>
        <w:rPr>
          <w:rFonts w:ascii="仿宋_GB2312" w:eastAsia="仿宋_GB2312" w:hAnsi="仿宋" w:cs="仿宋" w:hint="eastAsia"/>
        </w:rPr>
        <w:t>2021年安排公务用车购置费0万元。</w:t>
      </w:r>
    </w:p>
    <w:p w:rsidR="009C2AB9" w:rsidRDefault="008C4AAD">
      <w:pPr>
        <w:pStyle w:val="07"/>
        <w:ind w:firstLine="640"/>
        <w:rPr>
          <w:rFonts w:ascii="仿宋_GB2312" w:eastAsia="仿宋_GB2312" w:hAnsi="仿宋" w:cs="仿宋"/>
        </w:rPr>
      </w:pPr>
      <w:r>
        <w:rPr>
          <w:rFonts w:ascii="仿宋_GB2312" w:eastAsia="仿宋_GB2312" w:hAnsi="仿宋" w:cs="仿宋" w:hint="eastAsia"/>
        </w:rPr>
        <w:t>2021年安排公务用车运行维护费0万元。</w:t>
      </w:r>
    </w:p>
    <w:p w:rsidR="009C2AB9" w:rsidRDefault="008C4AAD">
      <w:pPr>
        <w:pStyle w:val="B01"/>
        <w:numPr>
          <w:ilvl w:val="0"/>
          <w:numId w:val="4"/>
        </w:numPr>
      </w:pPr>
      <w:r>
        <w:rPr>
          <w:rFonts w:hint="eastAsia"/>
        </w:rPr>
        <w:t>其他重要事项的情况说明</w:t>
      </w:r>
    </w:p>
    <w:p w:rsidR="009C2AB9" w:rsidRDefault="008C4AAD">
      <w:pPr>
        <w:pStyle w:val="B02"/>
        <w:numPr>
          <w:ilvl w:val="0"/>
          <w:numId w:val="5"/>
        </w:numPr>
      </w:pPr>
      <w:r>
        <w:rPr>
          <w:rFonts w:hint="eastAsia"/>
        </w:rPr>
        <w:t>机关运行经费</w:t>
      </w:r>
    </w:p>
    <w:p w:rsidR="009C2AB9" w:rsidRDefault="008C4AAD">
      <w:pPr>
        <w:pStyle w:val="C01"/>
        <w:rPr>
          <w:rStyle w:val="08Char"/>
          <w:rFonts w:ascii="仿宋" w:eastAsia="仿宋" w:hAnsi="仿宋" w:cs="仿宋"/>
        </w:rPr>
      </w:pPr>
      <w:r>
        <w:rPr>
          <w:rFonts w:hint="eastAsia"/>
        </w:rPr>
        <w:t>2021年，乐山市就业创业促进中心为保障单位运行，安排的包括办公及印刷费、邮电费、差旅费、会议费、福利费、日常维修费、专用材料及一般设备购置费、办公用房水电费、办公用房取暖费、办公用房物业管理费、公务用车运行维护费以及其他费用等机关运行经费预算为152.38</w:t>
      </w:r>
      <w:r>
        <w:rPr>
          <w:rStyle w:val="A11Char"/>
          <w:rFonts w:ascii="仿宋_GB2312" w:hint="eastAsia"/>
          <w:sz w:val="32"/>
          <w:szCs w:val="32"/>
        </w:rPr>
        <w:t>万元，</w:t>
      </w:r>
      <w:r>
        <w:rPr>
          <w:rFonts w:hint="eastAsia"/>
        </w:rPr>
        <w:t>较上年</w:t>
      </w:r>
      <w:r>
        <w:rPr>
          <w:rStyle w:val="A11Char"/>
          <w:rFonts w:ascii="仿宋_GB2312" w:hint="eastAsia"/>
          <w:sz w:val="32"/>
          <w:szCs w:val="32"/>
        </w:rPr>
        <w:t>预算数44.91</w:t>
      </w:r>
      <w:r>
        <w:rPr>
          <w:rFonts w:hint="eastAsia"/>
        </w:rPr>
        <w:t>增加107.47万元，增长239.30%，</w:t>
      </w:r>
      <w:r>
        <w:rPr>
          <w:rStyle w:val="08Char"/>
          <w:rFonts w:ascii="仿宋" w:eastAsia="仿宋" w:hAnsi="仿宋" w:cs="仿宋" w:hint="eastAsia"/>
        </w:rPr>
        <w:t>主要原因：财政预算的人均公用经费标准增加。</w:t>
      </w:r>
    </w:p>
    <w:p w:rsidR="009C2AB9" w:rsidRDefault="008C4AAD">
      <w:pPr>
        <w:pStyle w:val="B02"/>
        <w:numPr>
          <w:ilvl w:val="0"/>
          <w:numId w:val="0"/>
        </w:numPr>
        <w:ind w:firstLineChars="200" w:firstLine="640"/>
      </w:pPr>
      <w:r>
        <w:rPr>
          <w:rFonts w:hint="eastAsia"/>
        </w:rPr>
        <w:t>（二）政府采购情况</w:t>
      </w:r>
    </w:p>
    <w:p w:rsidR="009C2AB9" w:rsidRDefault="008C4AAD">
      <w:pPr>
        <w:pStyle w:val="B02"/>
        <w:numPr>
          <w:ilvl w:val="0"/>
          <w:numId w:val="0"/>
        </w:numPr>
        <w:ind w:firstLineChars="200" w:firstLine="640"/>
        <w:rPr>
          <w:rFonts w:ascii="仿宋_GB2312" w:eastAsia="仿宋_GB2312" w:hAnsi="仿宋" w:cs="仿宋"/>
          <w:highlight w:val="red"/>
        </w:rPr>
      </w:pPr>
      <w:r>
        <w:rPr>
          <w:rFonts w:ascii="仿宋_GB2312" w:eastAsia="仿宋_GB2312" w:hAnsi="仿宋" w:cs="仿宋" w:hint="eastAsia"/>
          <w:color w:val="000000"/>
        </w:rPr>
        <w:t>2021年，乐山市就业创业促进中心安排政府采购预算0万元，与上年预算持平。</w:t>
      </w:r>
    </w:p>
    <w:p w:rsidR="009C2AB9" w:rsidRDefault="008C4AAD">
      <w:pPr>
        <w:pStyle w:val="B02"/>
        <w:numPr>
          <w:ilvl w:val="0"/>
          <w:numId w:val="0"/>
        </w:numPr>
        <w:ind w:left="635"/>
      </w:pPr>
      <w:r>
        <w:rPr>
          <w:rFonts w:hint="eastAsia"/>
        </w:rPr>
        <w:t>（三）国有资产占有使用情况</w:t>
      </w:r>
    </w:p>
    <w:p w:rsidR="009C2AB9" w:rsidRDefault="008C4AAD">
      <w:pPr>
        <w:pStyle w:val="C01"/>
      </w:pPr>
      <w:r>
        <w:rPr>
          <w:rFonts w:hint="eastAsia"/>
        </w:rPr>
        <w:t>截至去年底，乐山市就业创业促进中心共有车辆1辆。单位价值200万元以上大型设备0台（套）。</w:t>
      </w:r>
    </w:p>
    <w:p w:rsidR="009C2AB9" w:rsidRDefault="008C4AAD">
      <w:pPr>
        <w:pStyle w:val="C01"/>
      </w:pPr>
      <w:r>
        <w:rPr>
          <w:rFonts w:hint="eastAsia"/>
        </w:rPr>
        <w:t>2021年，部门预算安排购置车辆及单位价值200万元以上大型设备0万元。</w:t>
      </w:r>
    </w:p>
    <w:p w:rsidR="009C2AB9" w:rsidRDefault="008C4AAD">
      <w:pPr>
        <w:pStyle w:val="B02"/>
        <w:numPr>
          <w:ilvl w:val="0"/>
          <w:numId w:val="0"/>
        </w:numPr>
        <w:ind w:firstLineChars="200" w:firstLine="640"/>
      </w:pPr>
      <w:r>
        <w:rPr>
          <w:rFonts w:hint="eastAsia"/>
        </w:rPr>
        <w:t>（四）绩效目标设置情况</w:t>
      </w:r>
    </w:p>
    <w:p w:rsidR="009C2AB9" w:rsidRDefault="008C4AAD">
      <w:pPr>
        <w:pStyle w:val="C01"/>
      </w:pPr>
      <w:r>
        <w:rPr>
          <w:rFonts w:hint="eastAsia"/>
        </w:rPr>
        <w:t>2021年，乐山市就业创业促进中心按要求实行绩效目标</w:t>
      </w:r>
      <w:r>
        <w:rPr>
          <w:rFonts w:hint="eastAsia"/>
        </w:rPr>
        <w:lastRenderedPageBreak/>
        <w:t>管理，编制了项目绩效目标的预算49.67万元，主要为编外人员经费、大厅设备及软件维护费、府街办公区物管费、信息化指挥调度中心委托业务费四个项目。</w:t>
      </w:r>
    </w:p>
    <w:p w:rsidR="009C2AB9" w:rsidRDefault="008C4AAD">
      <w:pPr>
        <w:pStyle w:val="B01"/>
        <w:numPr>
          <w:ilvl w:val="0"/>
          <w:numId w:val="4"/>
        </w:numPr>
      </w:pPr>
      <w:r>
        <w:rPr>
          <w:rFonts w:hint="eastAsia"/>
        </w:rPr>
        <w:t>名词解释</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1.财政拨款收支情况：是指一般公共预算、政府性基金预算、国有资本经营预算拨款收支情况。</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2.一般公共预算拨款收入：指市级财政当年拨付的资金。</w:t>
      </w:r>
    </w:p>
    <w:p w:rsidR="009C2AB9" w:rsidRDefault="008C4AAD">
      <w:pPr>
        <w:pStyle w:val="B03"/>
        <w:numPr>
          <w:ilvl w:val="0"/>
          <w:numId w:val="0"/>
        </w:numPr>
        <w:ind w:firstLine="635"/>
        <w:rPr>
          <w:rStyle w:val="a8"/>
          <w:rFonts w:ascii="仿宋_GB2312" w:eastAsia="仿宋_GB2312" w:hAnsi="Times New Roman"/>
          <w:color w:val="000000"/>
        </w:rPr>
      </w:pPr>
      <w:r>
        <w:rPr>
          <w:rStyle w:val="a8"/>
          <w:rFonts w:ascii="仿宋_GB2312" w:eastAsia="仿宋_GB2312" w:hAnsi="Times New Roman" w:hint="eastAsia"/>
          <w:color w:val="000000"/>
        </w:rPr>
        <w:t>3.事业收入：指事业单位开展专业业务活动及辅助活动所取得的收入。</w:t>
      </w:r>
    </w:p>
    <w:p w:rsidR="009C2AB9" w:rsidRDefault="008C4AAD">
      <w:pPr>
        <w:pStyle w:val="B03"/>
        <w:numPr>
          <w:ilvl w:val="0"/>
          <w:numId w:val="0"/>
        </w:numPr>
        <w:ind w:firstLine="635"/>
        <w:rPr>
          <w:rStyle w:val="a8"/>
          <w:rFonts w:ascii="仿宋_GB2312" w:eastAsia="仿宋_GB2312" w:hAnsi="Times New Roman"/>
          <w:color w:val="000000"/>
        </w:rPr>
      </w:pPr>
      <w:r>
        <w:rPr>
          <w:rStyle w:val="a8"/>
          <w:rFonts w:ascii="仿宋_GB2312" w:eastAsia="仿宋_GB2312" w:hAnsi="Times New Roman" w:hint="eastAsia"/>
          <w:color w:val="000000"/>
        </w:rPr>
        <w:t>4.事业单位经营收入：指事业单位在专业业务活动及其辅助活动之外开展非独立核算经营活动取得的收入。</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5.其他收入：指除上述“一般公共预算拨款收入”“</w:t>
      </w:r>
      <w:r>
        <w:rPr>
          <w:rStyle w:val="a8"/>
          <w:rFonts w:ascii="仿宋_GB2312" w:eastAsia="仿宋_GB2312" w:hAnsi="Times New Roman" w:hint="eastAsia"/>
          <w:color w:val="000000"/>
        </w:rPr>
        <w:t>事业收入</w:t>
      </w:r>
      <w:r>
        <w:rPr>
          <w:rFonts w:ascii="仿宋_GB2312" w:eastAsia="仿宋_GB2312" w:hAnsi="Times New Roman" w:hint="eastAsia"/>
          <w:color w:val="000000"/>
        </w:rPr>
        <w:t>”“</w:t>
      </w:r>
      <w:r>
        <w:rPr>
          <w:rStyle w:val="a8"/>
          <w:rFonts w:ascii="仿宋_GB2312" w:eastAsia="仿宋_GB2312" w:hAnsi="Times New Roman" w:hint="eastAsia"/>
          <w:color w:val="000000"/>
        </w:rPr>
        <w:t>事业单位经营收入</w:t>
      </w:r>
      <w:r>
        <w:rPr>
          <w:rFonts w:ascii="仿宋_GB2312" w:eastAsia="仿宋_GB2312" w:hAnsi="Times New Roman" w:hint="eastAsia"/>
          <w:color w:val="000000"/>
        </w:rPr>
        <w:t>”等以外的收入。主要是利息收入、国有资产出租收入等。</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6.用事业基金弥补收支差额：指事业单位在当年的收入不足以安排当年支出的情况下，使用以前年度积累的事业基金（事业单位当年收支相抵后按国家规定提取、用于弥补以后年度收支差额的基金）弥补本年度收支缺口的资金。</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7.上年结转：指以前年度尚未完成，结转到本年仍按原规定用途继续使用的资金。</w:t>
      </w:r>
    </w:p>
    <w:p w:rsidR="009C2AB9" w:rsidRDefault="008C4AAD">
      <w:pPr>
        <w:pStyle w:val="B03"/>
        <w:numPr>
          <w:ilvl w:val="0"/>
          <w:numId w:val="0"/>
        </w:numPr>
        <w:ind w:firstLine="635"/>
        <w:jc w:val="left"/>
        <w:rPr>
          <w:rFonts w:ascii="仿宋_GB2312" w:eastAsia="仿宋_GB2312" w:hAnsi="Times New Roman"/>
          <w:color w:val="000000"/>
        </w:rPr>
      </w:pPr>
      <w:r>
        <w:rPr>
          <w:rFonts w:ascii="仿宋_GB2312" w:eastAsia="仿宋_GB2312" w:hAnsi="Times New Roman" w:hint="eastAsia"/>
          <w:color w:val="000000"/>
        </w:rPr>
        <w:t>8.社会保障和就业支出（类）人力资源和社会保障管理事务（款）行政运行（项）:反映行政单位（包括实行公务员管理的事业单位）的基本支出。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9.社会保障和就业支出（类）人力资源和社会保障管理</w:t>
      </w:r>
      <w:r>
        <w:rPr>
          <w:rFonts w:ascii="仿宋_GB2312" w:eastAsia="仿宋_GB2312" w:hAnsi="Times New Roman" w:hint="eastAsia"/>
          <w:color w:val="000000"/>
        </w:rPr>
        <w:lastRenderedPageBreak/>
        <w:t>事务（款）就业事务管理（项）：反映就业和职业能力鉴定管理方面的支出。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rPr>
        <w:t>10.社</w:t>
      </w:r>
      <w:r>
        <w:rPr>
          <w:rFonts w:ascii="仿宋_GB2312" w:eastAsia="仿宋_GB2312" w:hAnsi="Times New Roman" w:hint="eastAsia"/>
          <w:color w:val="000000"/>
        </w:rPr>
        <w:t>会保障和就业支出（类）人力资源和社会保障管理事务（款）其他人力资源和社会保障管理事务支出（项）:反映除上述项目以外其他用于人力资源和社会保障管理事务方面的支出。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11.社会保障和就业支出（类）行政事业单位养老支出（款）机关事业单位基本养老保险缴费支出（项）:反映机关事业单位实施养老保险制度由单位缴纳的基本养老保险费支出。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12.社会保障和就业支出（类）行政事业单位养老支出（款）机关事业单位职业年金缴费支出（项）:反映机关事业单位实施养老保险制度由单位实际缴纳的职业年金支出。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13.社会保障和就业支出（类）行政事业单位养老支出（款）其他行政事业单位养老支出（项）：反映除上述项目以外其他用于行政事业单位养老方面的支出。</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14.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15.住房保障支出（类）住房改革支出（款）住房公积金（项）:反映行政事业单位按人力资源和社会保障部、财政部规定的基本工资和津贴补贴以及规定比例为职工缴纳</w:t>
      </w:r>
      <w:r>
        <w:rPr>
          <w:rFonts w:ascii="仿宋_GB2312" w:eastAsia="仿宋_GB2312" w:hAnsi="Times New Roman" w:hint="eastAsia"/>
          <w:color w:val="000000"/>
        </w:rPr>
        <w:lastRenderedPageBreak/>
        <w:t>的住房公积金。</w:t>
      </w:r>
    </w:p>
    <w:p w:rsidR="009C2AB9" w:rsidRDefault="008C4AAD">
      <w:pPr>
        <w:pStyle w:val="B03"/>
        <w:numPr>
          <w:ilvl w:val="0"/>
          <w:numId w:val="0"/>
        </w:numPr>
        <w:ind w:firstLine="635"/>
        <w:rPr>
          <w:rFonts w:ascii="仿宋_GB2312" w:eastAsia="仿宋_GB2312" w:hAnsi="Times New Roman"/>
          <w:color w:val="000000"/>
        </w:rPr>
      </w:pPr>
      <w:r>
        <w:rPr>
          <w:rFonts w:ascii="仿宋_GB2312" w:eastAsia="仿宋_GB2312" w:hAnsi="Times New Roman" w:hint="eastAsia"/>
          <w:color w:val="000000"/>
        </w:rPr>
        <w:t>16.项目支出：指在基本支出之外为完成特定行政任务和事业发展目标所发生的支出。</w:t>
      </w:r>
    </w:p>
    <w:p w:rsidR="009C2AB9" w:rsidRDefault="008C4AAD">
      <w:pPr>
        <w:pStyle w:val="C01"/>
        <w:rPr>
          <w:rFonts w:hAnsi="Times New Roman"/>
          <w:color w:val="000000"/>
        </w:rPr>
      </w:pPr>
      <w:r>
        <w:rPr>
          <w:rFonts w:hAnsi="Times New Roman" w:hint="eastAsia"/>
          <w:color w:val="000000"/>
        </w:rPr>
        <w:t>17.纳入预决算管理的“三公”经费，是指部门安排的因公出国（境）费、公务用车购置及运行费和公务接待费。其中，因公出国（境）</w:t>
      </w:r>
      <w:proofErr w:type="gramStart"/>
      <w:r>
        <w:rPr>
          <w:rFonts w:hAnsi="Times New Roman" w:hint="eastAsia"/>
          <w:color w:val="000000"/>
        </w:rPr>
        <w:t>费反映</w:t>
      </w:r>
      <w:proofErr w:type="gramEnd"/>
      <w:r>
        <w:rPr>
          <w:rFonts w:hAnsi="Times New Roman" w:hint="eastAsia"/>
          <w:color w:val="000000"/>
        </w:rPr>
        <w:t>单位公务出国（境）的国际旅费、国外城市间交通费、住宿费、伙食费、培训费、公杂费等支出；公务用车购置及运行</w:t>
      </w:r>
      <w:proofErr w:type="gramStart"/>
      <w:r>
        <w:rPr>
          <w:rFonts w:hAnsi="Times New Roman" w:hint="eastAsia"/>
          <w:color w:val="000000"/>
        </w:rPr>
        <w:t>费反映</w:t>
      </w:r>
      <w:proofErr w:type="gramEnd"/>
      <w:r>
        <w:rPr>
          <w:rFonts w:hAnsi="Times New Roman" w:hint="eastAsia"/>
          <w:color w:val="000000"/>
        </w:rPr>
        <w:t>单位公务用车车辆购置支出（</w:t>
      </w:r>
      <w:proofErr w:type="gramStart"/>
      <w:r>
        <w:rPr>
          <w:rFonts w:hAnsi="Times New Roman" w:hint="eastAsia"/>
          <w:color w:val="000000"/>
        </w:rPr>
        <w:t>含车辆</w:t>
      </w:r>
      <w:proofErr w:type="gramEnd"/>
      <w:r>
        <w:rPr>
          <w:rFonts w:hAnsi="Times New Roman" w:hint="eastAsia"/>
          <w:color w:val="000000"/>
        </w:rPr>
        <w:t>购置税）及租用费、燃料费、维修费、过路过桥费、保险费等支出；公务接待</w:t>
      </w:r>
      <w:proofErr w:type="gramStart"/>
      <w:r>
        <w:rPr>
          <w:rFonts w:hAnsi="Times New Roman" w:hint="eastAsia"/>
          <w:color w:val="000000"/>
        </w:rPr>
        <w:t>费反映</w:t>
      </w:r>
      <w:proofErr w:type="gramEnd"/>
      <w:r>
        <w:rPr>
          <w:rFonts w:hAnsi="Times New Roman" w:hint="eastAsia"/>
          <w:color w:val="000000"/>
        </w:rPr>
        <w:t>单位按规定开支的各类公务接待（含外宾接待）支出。</w:t>
      </w:r>
    </w:p>
    <w:p w:rsidR="009C2AB9" w:rsidRDefault="009C2AB9">
      <w:pPr>
        <w:pStyle w:val="C01"/>
        <w:rPr>
          <w:rFonts w:hAnsi="Times New Roman"/>
          <w:color w:val="000000"/>
        </w:rPr>
      </w:pPr>
    </w:p>
    <w:p w:rsidR="009C2AB9" w:rsidRDefault="008C4AAD">
      <w:pPr>
        <w:pStyle w:val="C01"/>
        <w:ind w:firstLineChars="1400" w:firstLine="4480"/>
        <w:rPr>
          <w:rFonts w:hAnsi="Times New Roman"/>
          <w:color w:val="000000"/>
        </w:rPr>
      </w:pPr>
      <w:r>
        <w:rPr>
          <w:rFonts w:hAnsi="Times New Roman" w:hint="eastAsia"/>
          <w:color w:val="000000"/>
        </w:rPr>
        <w:t>乐山市就业创业促进中心</w:t>
      </w:r>
    </w:p>
    <w:p w:rsidR="009C2AB9" w:rsidRDefault="008C4AAD">
      <w:pPr>
        <w:pStyle w:val="C01"/>
        <w:ind w:firstLineChars="1700" w:firstLine="5440"/>
        <w:rPr>
          <w:rFonts w:hAnsi="Times New Roman"/>
          <w:color w:val="000000"/>
        </w:rPr>
      </w:pPr>
      <w:r>
        <w:rPr>
          <w:rFonts w:hAnsi="Times New Roman" w:hint="eastAsia"/>
          <w:color w:val="000000"/>
        </w:rPr>
        <w:t>2021年2月5日</w:t>
      </w:r>
    </w:p>
    <w:p w:rsidR="009C2AB9" w:rsidRDefault="009C2AB9"/>
    <w:sectPr w:rsidR="009C2AB9">
      <w:footerReference w:type="default" r:id="rId17"/>
      <w:pgSz w:w="11906" w:h="16838"/>
      <w:pgMar w:top="1213" w:right="1800" w:bottom="1213" w:left="1800" w:header="851" w:footer="992"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98" w:rsidRDefault="008C4AAD">
      <w:r>
        <w:separator/>
      </w:r>
    </w:p>
  </w:endnote>
  <w:endnote w:type="continuationSeparator" w:id="0">
    <w:p w:rsidR="00930498" w:rsidRDefault="008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9" w:rsidRDefault="00A147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9" w:rsidRDefault="00A1477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9" w:rsidRDefault="00A1477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9" w:rsidRDefault="009C2AB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9" w:rsidRDefault="008C4AA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2AB9" w:rsidRDefault="008C4AAD">
                          <w:pPr>
                            <w:pStyle w:val="a4"/>
                          </w:pPr>
                          <w:r>
                            <w:fldChar w:fldCharType="begin"/>
                          </w:r>
                          <w:r>
                            <w:instrText xml:space="preserve"> PAGE  \* MERGEFORMAT </w:instrText>
                          </w:r>
                          <w:r>
                            <w:fldChar w:fldCharType="separate"/>
                          </w:r>
                          <w:r w:rsidR="00A14779">
                            <w:rPr>
                              <w:noProof/>
                            </w:rP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C2AB9" w:rsidRDefault="008C4AAD">
                    <w:pPr>
                      <w:pStyle w:val="a4"/>
                    </w:pPr>
                    <w:r>
                      <w:fldChar w:fldCharType="begin"/>
                    </w:r>
                    <w:r>
                      <w:instrText xml:space="preserve"> PAGE  \* MERGEFORMAT </w:instrText>
                    </w:r>
                    <w:r>
                      <w:fldChar w:fldCharType="separate"/>
                    </w:r>
                    <w:r w:rsidR="00A14779">
                      <w:rPr>
                        <w:noProof/>
                      </w:rPr>
                      <w:t>- 8 -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98" w:rsidRDefault="008C4AAD">
      <w:r>
        <w:separator/>
      </w:r>
    </w:p>
  </w:footnote>
  <w:footnote w:type="continuationSeparator" w:id="0">
    <w:p w:rsidR="00930498" w:rsidRDefault="008C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9" w:rsidRDefault="00A147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D" w:rsidRDefault="008C4AAD" w:rsidP="00A1477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9" w:rsidRDefault="00A147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EAF"/>
    <w:multiLevelType w:val="multilevel"/>
    <w:tmpl w:val="34F85EAF"/>
    <w:lvl w:ilvl="0">
      <w:start w:val="1"/>
      <w:numFmt w:val="chineseCountingThousand"/>
      <w:pStyle w:val="B01"/>
      <w:suff w:val="nothing"/>
      <w:lvlText w:val="%1、"/>
      <w:lvlJc w:val="left"/>
      <w:pPr>
        <w:ind w:left="1057" w:hanging="420"/>
      </w:pPr>
      <w:rPr>
        <w:rFonts w:hint="eastAsia"/>
      </w:rPr>
    </w:lvl>
    <w:lvl w:ilvl="1">
      <w:start w:val="1"/>
      <w:numFmt w:val="lowerLetter"/>
      <w:lvlText w:val="%2)"/>
      <w:lvlJc w:val="left"/>
      <w:pPr>
        <w:ind w:left="1477" w:hanging="420"/>
      </w:pPr>
    </w:lvl>
    <w:lvl w:ilvl="2">
      <w:start w:val="1"/>
      <w:numFmt w:val="lowerRoman"/>
      <w:lvlText w:val="%3."/>
      <w:lvlJc w:val="right"/>
      <w:pPr>
        <w:ind w:left="1897" w:hanging="420"/>
      </w:pPr>
    </w:lvl>
    <w:lvl w:ilvl="3">
      <w:start w:val="1"/>
      <w:numFmt w:val="decimal"/>
      <w:lvlText w:val="%4."/>
      <w:lvlJc w:val="left"/>
      <w:pPr>
        <w:ind w:left="2317" w:hanging="420"/>
      </w:pPr>
    </w:lvl>
    <w:lvl w:ilvl="4">
      <w:start w:val="1"/>
      <w:numFmt w:val="lowerLetter"/>
      <w:lvlText w:val="%5)"/>
      <w:lvlJc w:val="left"/>
      <w:pPr>
        <w:ind w:left="2737" w:hanging="420"/>
      </w:pPr>
    </w:lvl>
    <w:lvl w:ilvl="5">
      <w:start w:val="1"/>
      <w:numFmt w:val="lowerRoman"/>
      <w:lvlText w:val="%6."/>
      <w:lvlJc w:val="right"/>
      <w:pPr>
        <w:ind w:left="3157" w:hanging="420"/>
      </w:pPr>
    </w:lvl>
    <w:lvl w:ilvl="6">
      <w:start w:val="1"/>
      <w:numFmt w:val="decimal"/>
      <w:lvlText w:val="%7."/>
      <w:lvlJc w:val="left"/>
      <w:pPr>
        <w:ind w:left="3577" w:hanging="420"/>
      </w:pPr>
    </w:lvl>
    <w:lvl w:ilvl="7">
      <w:start w:val="1"/>
      <w:numFmt w:val="lowerLetter"/>
      <w:lvlText w:val="%8)"/>
      <w:lvlJc w:val="left"/>
      <w:pPr>
        <w:ind w:left="3997" w:hanging="420"/>
      </w:pPr>
    </w:lvl>
    <w:lvl w:ilvl="8">
      <w:start w:val="1"/>
      <w:numFmt w:val="lowerRoman"/>
      <w:lvlText w:val="%9."/>
      <w:lvlJc w:val="right"/>
      <w:pPr>
        <w:ind w:left="4417" w:hanging="420"/>
      </w:pPr>
    </w:lvl>
  </w:abstractNum>
  <w:abstractNum w:abstractNumId="1">
    <w:nsid w:val="41825C36"/>
    <w:multiLevelType w:val="multilevel"/>
    <w:tmpl w:val="41825C36"/>
    <w:lvl w:ilvl="0">
      <w:start w:val="9"/>
      <w:numFmt w:val="japaneseCounting"/>
      <w:lvlText w:val="%1、"/>
      <w:lvlJc w:val="left"/>
      <w:pPr>
        <w:ind w:left="1357" w:hanging="720"/>
      </w:pPr>
      <w:rPr>
        <w:rFonts w:hint="default"/>
      </w:rPr>
    </w:lvl>
    <w:lvl w:ilvl="1">
      <w:start w:val="1"/>
      <w:numFmt w:val="lowerLetter"/>
      <w:lvlText w:val="%2)"/>
      <w:lvlJc w:val="left"/>
      <w:pPr>
        <w:ind w:left="1477" w:hanging="420"/>
      </w:pPr>
    </w:lvl>
    <w:lvl w:ilvl="2">
      <w:start w:val="1"/>
      <w:numFmt w:val="lowerRoman"/>
      <w:lvlText w:val="%3."/>
      <w:lvlJc w:val="right"/>
      <w:pPr>
        <w:ind w:left="1897" w:hanging="420"/>
      </w:pPr>
    </w:lvl>
    <w:lvl w:ilvl="3">
      <w:start w:val="1"/>
      <w:numFmt w:val="decimal"/>
      <w:lvlText w:val="%4."/>
      <w:lvlJc w:val="left"/>
      <w:pPr>
        <w:ind w:left="2317" w:hanging="420"/>
      </w:pPr>
    </w:lvl>
    <w:lvl w:ilvl="4">
      <w:start w:val="1"/>
      <w:numFmt w:val="lowerLetter"/>
      <w:lvlText w:val="%5)"/>
      <w:lvlJc w:val="left"/>
      <w:pPr>
        <w:ind w:left="2737" w:hanging="420"/>
      </w:pPr>
    </w:lvl>
    <w:lvl w:ilvl="5">
      <w:start w:val="1"/>
      <w:numFmt w:val="lowerRoman"/>
      <w:lvlText w:val="%6."/>
      <w:lvlJc w:val="right"/>
      <w:pPr>
        <w:ind w:left="3157" w:hanging="420"/>
      </w:pPr>
    </w:lvl>
    <w:lvl w:ilvl="6">
      <w:start w:val="1"/>
      <w:numFmt w:val="decimal"/>
      <w:lvlText w:val="%7."/>
      <w:lvlJc w:val="left"/>
      <w:pPr>
        <w:ind w:left="3577" w:hanging="420"/>
      </w:pPr>
    </w:lvl>
    <w:lvl w:ilvl="7">
      <w:start w:val="1"/>
      <w:numFmt w:val="lowerLetter"/>
      <w:lvlText w:val="%8)"/>
      <w:lvlJc w:val="left"/>
      <w:pPr>
        <w:ind w:left="3997" w:hanging="420"/>
      </w:pPr>
    </w:lvl>
    <w:lvl w:ilvl="8">
      <w:start w:val="1"/>
      <w:numFmt w:val="lowerRoman"/>
      <w:lvlText w:val="%9."/>
      <w:lvlJc w:val="right"/>
      <w:pPr>
        <w:ind w:left="4417" w:hanging="420"/>
      </w:pPr>
    </w:lvl>
  </w:abstractNum>
  <w:abstractNum w:abstractNumId="2">
    <w:nsid w:val="5B63281F"/>
    <w:multiLevelType w:val="multilevel"/>
    <w:tmpl w:val="5B63281F"/>
    <w:lvl w:ilvl="0">
      <w:start w:val="1"/>
      <w:numFmt w:val="decimal"/>
      <w:pStyle w:val="B03"/>
      <w:suff w:val="nothing"/>
      <w:lvlText w:val="%1."/>
      <w:lvlJc w:val="left"/>
      <w:pPr>
        <w:ind w:left="0" w:firstLine="635"/>
      </w:pPr>
      <w:rPr>
        <w:rFonts w:hint="eastAsia"/>
      </w:rPr>
    </w:lvl>
    <w:lvl w:ilvl="1">
      <w:start w:val="1"/>
      <w:numFmt w:val="lowerLetter"/>
      <w:lvlText w:val="%2)"/>
      <w:lvlJc w:val="left"/>
      <w:pPr>
        <w:ind w:left="1475" w:hanging="420"/>
      </w:pPr>
    </w:lvl>
    <w:lvl w:ilvl="2">
      <w:start w:val="1"/>
      <w:numFmt w:val="lowerRoman"/>
      <w:lvlText w:val="%3."/>
      <w:lvlJc w:val="right"/>
      <w:pPr>
        <w:ind w:left="1895" w:hanging="420"/>
      </w:pPr>
    </w:lvl>
    <w:lvl w:ilvl="3">
      <w:start w:val="1"/>
      <w:numFmt w:val="decimal"/>
      <w:lvlText w:val="%4."/>
      <w:lvlJc w:val="left"/>
      <w:pPr>
        <w:ind w:left="2315" w:hanging="420"/>
      </w:pPr>
    </w:lvl>
    <w:lvl w:ilvl="4">
      <w:start w:val="1"/>
      <w:numFmt w:val="lowerLetter"/>
      <w:lvlText w:val="%5)"/>
      <w:lvlJc w:val="left"/>
      <w:pPr>
        <w:ind w:left="2735" w:hanging="420"/>
      </w:pPr>
    </w:lvl>
    <w:lvl w:ilvl="5">
      <w:start w:val="1"/>
      <w:numFmt w:val="lowerRoman"/>
      <w:lvlText w:val="%6."/>
      <w:lvlJc w:val="right"/>
      <w:pPr>
        <w:ind w:left="3155" w:hanging="420"/>
      </w:pPr>
    </w:lvl>
    <w:lvl w:ilvl="6">
      <w:start w:val="1"/>
      <w:numFmt w:val="decimal"/>
      <w:lvlText w:val="%7."/>
      <w:lvlJc w:val="left"/>
      <w:pPr>
        <w:ind w:left="3575" w:hanging="420"/>
      </w:pPr>
    </w:lvl>
    <w:lvl w:ilvl="7">
      <w:start w:val="1"/>
      <w:numFmt w:val="lowerLetter"/>
      <w:lvlText w:val="%8)"/>
      <w:lvlJc w:val="left"/>
      <w:pPr>
        <w:ind w:left="3995" w:hanging="420"/>
      </w:pPr>
    </w:lvl>
    <w:lvl w:ilvl="8">
      <w:start w:val="1"/>
      <w:numFmt w:val="lowerRoman"/>
      <w:lvlText w:val="%9."/>
      <w:lvlJc w:val="right"/>
      <w:pPr>
        <w:ind w:left="4415" w:hanging="420"/>
      </w:pPr>
    </w:lvl>
  </w:abstractNum>
  <w:abstractNum w:abstractNumId="3">
    <w:nsid w:val="7EE55BF3"/>
    <w:multiLevelType w:val="multilevel"/>
    <w:tmpl w:val="7EE55BF3"/>
    <w:lvl w:ilvl="0">
      <w:start w:val="1"/>
      <w:numFmt w:val="chineseCountingThousand"/>
      <w:pStyle w:val="B02"/>
      <w:suff w:val="nothing"/>
      <w:lvlText w:val="（%1）"/>
      <w:lvlJc w:val="left"/>
      <w:pPr>
        <w:ind w:left="0" w:firstLine="635"/>
      </w:pPr>
      <w:rPr>
        <w:rFonts w:hint="eastAsia"/>
        <w:lang w:val="en-US"/>
      </w:rPr>
    </w:lvl>
    <w:lvl w:ilvl="1">
      <w:start w:val="1"/>
      <w:numFmt w:val="decimal"/>
      <w:lvlText w:val="%2."/>
      <w:lvlJc w:val="left"/>
      <w:pPr>
        <w:ind w:left="980" w:hanging="360"/>
      </w:pPr>
      <w:rPr>
        <w:rFonts w:hint="default"/>
      </w:r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 w:numId="2">
    <w:abstractNumId w:val="3"/>
  </w:num>
  <w:num w:numId="3">
    <w:abstractNumId w:val="2"/>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7"/>
    <w:rsid w:val="005237E0"/>
    <w:rsid w:val="008C4AAD"/>
    <w:rsid w:val="00913395"/>
    <w:rsid w:val="00930498"/>
    <w:rsid w:val="009C2AB9"/>
    <w:rsid w:val="00A14779"/>
    <w:rsid w:val="00F275E7"/>
    <w:rsid w:val="48E13093"/>
    <w:rsid w:val="5AA6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Calibri" w:hAnsi="Calibri"/>
      <w:szCs w:val="21"/>
    </w:rPr>
  </w:style>
  <w:style w:type="paragraph" w:styleId="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pPr>
      <w:widowControl/>
      <w:tabs>
        <w:tab w:val="left" w:pos="840"/>
        <w:tab w:val="right" w:leader="dot" w:pos="8296"/>
      </w:tabs>
      <w:spacing w:after="100" w:line="276" w:lineRule="auto"/>
      <w:jc w:val="left"/>
    </w:pPr>
    <w:rPr>
      <w:rFonts w:eastAsia="黑体"/>
      <w:b/>
      <w:kern w:val="0"/>
      <w:sz w:val="22"/>
      <w:szCs w:val="22"/>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7">
    <w:name w:val="Strong"/>
    <w:qFormat/>
    <w:rPr>
      <w:b/>
    </w:rPr>
  </w:style>
  <w:style w:type="character" w:styleId="a8">
    <w:name w:val="Emphasis"/>
    <w:uiPriority w:val="20"/>
    <w:qFormat/>
  </w:style>
  <w:style w:type="character" w:styleId="a9">
    <w:name w:val="Hyperlink"/>
    <w:uiPriority w:val="99"/>
    <w:qFormat/>
    <w:rPr>
      <w:u w:val="single"/>
    </w:rPr>
  </w:style>
  <w:style w:type="paragraph" w:customStyle="1" w:styleId="A08">
    <w:name w:val="〖A08〗公文标题"/>
    <w:basedOn w:val="a"/>
    <w:next w:val="a"/>
    <w:qFormat/>
    <w:pPr>
      <w:topLinePunct/>
      <w:spacing w:line="600" w:lineRule="exact"/>
      <w:jc w:val="center"/>
    </w:pPr>
    <w:rPr>
      <w:rFonts w:ascii="方正小标宋简体" w:eastAsia="方正小标宋简体" w:hAnsi="Calibri"/>
      <w:kern w:val="0"/>
      <w:sz w:val="44"/>
      <w:szCs w:val="22"/>
    </w:rPr>
  </w:style>
  <w:style w:type="paragraph" w:customStyle="1" w:styleId="C01">
    <w:name w:val="〖C01〗正文"/>
    <w:basedOn w:val="a"/>
    <w:qFormat/>
    <w:pPr>
      <w:topLinePunct/>
      <w:spacing w:line="600" w:lineRule="exact"/>
      <w:ind w:firstLineChars="200" w:firstLine="640"/>
    </w:pPr>
    <w:rPr>
      <w:rFonts w:ascii="仿宋_GB2312" w:eastAsia="仿宋_GB2312" w:hAnsi="Calibri"/>
      <w:sz w:val="32"/>
      <w:szCs w:val="32"/>
    </w:rPr>
  </w:style>
  <w:style w:type="paragraph" w:customStyle="1" w:styleId="B01">
    <w:name w:val="〖B01〗一级标题"/>
    <w:basedOn w:val="a"/>
    <w:next w:val="a"/>
    <w:qFormat/>
    <w:pPr>
      <w:numPr>
        <w:numId w:val="1"/>
      </w:numPr>
      <w:topLinePunct/>
      <w:spacing w:line="600" w:lineRule="exact"/>
      <w:outlineLvl w:val="0"/>
    </w:pPr>
    <w:rPr>
      <w:rFonts w:ascii="黑体" w:eastAsia="黑体" w:hAnsi="Calibri"/>
      <w:sz w:val="32"/>
      <w:szCs w:val="32"/>
    </w:rPr>
  </w:style>
  <w:style w:type="character" w:customStyle="1" w:styleId="B10234Char">
    <w:name w:val="〖B10〗附件说明（234...） Char"/>
    <w:link w:val="B10234"/>
    <w:qFormat/>
    <w:rPr>
      <w:rFonts w:ascii="仿宋_GB2312" w:eastAsia="仿宋_GB2312" w:hAnsi="Calibri" w:cs="Times New Roman"/>
      <w:kern w:val="2"/>
      <w:sz w:val="32"/>
      <w:szCs w:val="21"/>
      <w:lang w:val="en-US" w:eastAsia="zh-CN" w:bidi="ar-SA"/>
    </w:rPr>
  </w:style>
  <w:style w:type="paragraph" w:customStyle="1" w:styleId="B10234">
    <w:name w:val="〖B10〗附件说明（234...）"/>
    <w:next w:val="a"/>
    <w:link w:val="B10234Char"/>
    <w:qFormat/>
    <w:pPr>
      <w:widowControl w:val="0"/>
      <w:spacing w:line="600" w:lineRule="exact"/>
      <w:ind w:left="1906" w:hanging="318"/>
    </w:pPr>
    <w:rPr>
      <w:rFonts w:ascii="仿宋_GB2312" w:eastAsia="仿宋_GB2312" w:hAnsi="Calibri" w:cs="Times New Roman"/>
      <w:kern w:val="2"/>
      <w:sz w:val="32"/>
      <w:szCs w:val="21"/>
    </w:rPr>
  </w:style>
  <w:style w:type="paragraph" w:customStyle="1" w:styleId="B02">
    <w:name w:val="〖B02〗二级标题"/>
    <w:basedOn w:val="C01"/>
    <w:next w:val="C01"/>
    <w:qFormat/>
    <w:pPr>
      <w:numPr>
        <w:numId w:val="2"/>
      </w:numPr>
      <w:ind w:firstLineChars="0" w:firstLine="0"/>
      <w:outlineLvl w:val="1"/>
    </w:pPr>
    <w:rPr>
      <w:rFonts w:ascii="楷体_GB2312" w:eastAsia="楷体_GB2312"/>
    </w:rPr>
  </w:style>
  <w:style w:type="character" w:customStyle="1" w:styleId="A11Char">
    <w:name w:val="〖A11〗页脚（偶数） Char"/>
    <w:link w:val="A11"/>
    <w:qFormat/>
    <w:rPr>
      <w:rFonts w:ascii="宋体"/>
      <w:kern w:val="0"/>
      <w:sz w:val="28"/>
      <w:szCs w:val="28"/>
    </w:rPr>
  </w:style>
  <w:style w:type="paragraph" w:customStyle="1" w:styleId="A11">
    <w:name w:val="〖A11〗页脚（偶数）"/>
    <w:basedOn w:val="a4"/>
    <w:link w:val="A11Char"/>
    <w:qFormat/>
    <w:pPr>
      <w:topLinePunct/>
    </w:pPr>
    <w:rPr>
      <w:rFonts w:ascii="宋体"/>
      <w:kern w:val="0"/>
      <w:sz w:val="28"/>
      <w:szCs w:val="28"/>
    </w:rPr>
  </w:style>
  <w:style w:type="paragraph" w:customStyle="1" w:styleId="A01">
    <w:name w:val="〖A01〗密级、紧急及附件"/>
    <w:next w:val="a"/>
    <w:link w:val="A01Char"/>
    <w:qFormat/>
    <w:pPr>
      <w:spacing w:line="600" w:lineRule="exact"/>
    </w:pPr>
    <w:rPr>
      <w:rFonts w:ascii="黑体" w:eastAsia="黑体" w:hAnsi="Calibri" w:cs="Times New Roman"/>
      <w:kern w:val="2"/>
      <w:sz w:val="32"/>
      <w:szCs w:val="21"/>
    </w:rPr>
  </w:style>
  <w:style w:type="character" w:customStyle="1" w:styleId="A01Char">
    <w:name w:val="〖A01〗密级、紧急及附件 Char"/>
    <w:link w:val="A01"/>
    <w:qFormat/>
    <w:rPr>
      <w:rFonts w:ascii="黑体" w:eastAsia="黑体" w:hAnsi="Calibri" w:cs="Times New Roman"/>
      <w:kern w:val="2"/>
      <w:sz w:val="32"/>
      <w:szCs w:val="21"/>
      <w:lang w:val="en-US" w:eastAsia="zh-CN" w:bidi="ar-SA"/>
    </w:rPr>
  </w:style>
  <w:style w:type="paragraph" w:customStyle="1" w:styleId="07">
    <w:name w:val="07 正文第一层"/>
    <w:basedOn w:val="a"/>
    <w:next w:val="a"/>
    <w:qFormat/>
    <w:pPr>
      <w:spacing w:line="600" w:lineRule="exact"/>
      <w:ind w:firstLineChars="200" w:firstLine="637"/>
      <w:outlineLvl w:val="0"/>
    </w:pPr>
    <w:rPr>
      <w:rFonts w:ascii="黑体" w:eastAsia="黑体" w:hAnsi="Calibri" w:cs="宋体"/>
      <w:sz w:val="32"/>
      <w:szCs w:val="20"/>
    </w:rPr>
  </w:style>
  <w:style w:type="character" w:customStyle="1" w:styleId="08Char">
    <w:name w:val="08 正文第二层 Char"/>
    <w:link w:val="08"/>
    <w:qFormat/>
    <w:rPr>
      <w:rFonts w:ascii="楷体_GB2312" w:eastAsia="楷体_GB2312" w:hAnsi="Calibri"/>
      <w:kern w:val="0"/>
      <w:sz w:val="32"/>
      <w:szCs w:val="20"/>
    </w:rPr>
  </w:style>
  <w:style w:type="paragraph" w:customStyle="1" w:styleId="08">
    <w:name w:val="08 正文第二层"/>
    <w:basedOn w:val="a"/>
    <w:next w:val="a"/>
    <w:link w:val="08Char"/>
    <w:qFormat/>
    <w:pPr>
      <w:spacing w:line="600" w:lineRule="exact"/>
      <w:ind w:firstLineChars="200" w:firstLine="637"/>
      <w:outlineLvl w:val="1"/>
    </w:pPr>
    <w:rPr>
      <w:rFonts w:ascii="楷体_GB2312" w:eastAsia="楷体_GB2312" w:hAnsi="Calibri"/>
      <w:kern w:val="0"/>
      <w:sz w:val="32"/>
      <w:szCs w:val="20"/>
    </w:rPr>
  </w:style>
  <w:style w:type="paragraph" w:customStyle="1" w:styleId="B03">
    <w:name w:val="〖B03〗三级标题"/>
    <w:basedOn w:val="a"/>
    <w:qFormat/>
    <w:pPr>
      <w:numPr>
        <w:numId w:val="3"/>
      </w:numPr>
      <w:topLinePunct/>
      <w:spacing w:line="600" w:lineRule="exact"/>
      <w:outlineLvl w:val="2"/>
    </w:pPr>
    <w:rPr>
      <w:rFonts w:ascii="楷体_GB2312" w:eastAsia="楷体_GB2312"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Calibri" w:hAnsi="Calibri"/>
      <w:szCs w:val="21"/>
    </w:rPr>
  </w:style>
  <w:style w:type="paragraph" w:styleId="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pPr>
      <w:widowControl/>
      <w:tabs>
        <w:tab w:val="left" w:pos="840"/>
        <w:tab w:val="right" w:leader="dot" w:pos="8296"/>
      </w:tabs>
      <w:spacing w:after="100" w:line="276" w:lineRule="auto"/>
      <w:jc w:val="left"/>
    </w:pPr>
    <w:rPr>
      <w:rFonts w:eastAsia="黑体"/>
      <w:b/>
      <w:kern w:val="0"/>
      <w:sz w:val="22"/>
      <w:szCs w:val="22"/>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7">
    <w:name w:val="Strong"/>
    <w:qFormat/>
    <w:rPr>
      <w:b/>
    </w:rPr>
  </w:style>
  <w:style w:type="character" w:styleId="a8">
    <w:name w:val="Emphasis"/>
    <w:uiPriority w:val="20"/>
    <w:qFormat/>
  </w:style>
  <w:style w:type="character" w:styleId="a9">
    <w:name w:val="Hyperlink"/>
    <w:uiPriority w:val="99"/>
    <w:qFormat/>
    <w:rPr>
      <w:u w:val="single"/>
    </w:rPr>
  </w:style>
  <w:style w:type="paragraph" w:customStyle="1" w:styleId="A08">
    <w:name w:val="〖A08〗公文标题"/>
    <w:basedOn w:val="a"/>
    <w:next w:val="a"/>
    <w:qFormat/>
    <w:pPr>
      <w:topLinePunct/>
      <w:spacing w:line="600" w:lineRule="exact"/>
      <w:jc w:val="center"/>
    </w:pPr>
    <w:rPr>
      <w:rFonts w:ascii="方正小标宋简体" w:eastAsia="方正小标宋简体" w:hAnsi="Calibri"/>
      <w:kern w:val="0"/>
      <w:sz w:val="44"/>
      <w:szCs w:val="22"/>
    </w:rPr>
  </w:style>
  <w:style w:type="paragraph" w:customStyle="1" w:styleId="C01">
    <w:name w:val="〖C01〗正文"/>
    <w:basedOn w:val="a"/>
    <w:qFormat/>
    <w:pPr>
      <w:topLinePunct/>
      <w:spacing w:line="600" w:lineRule="exact"/>
      <w:ind w:firstLineChars="200" w:firstLine="640"/>
    </w:pPr>
    <w:rPr>
      <w:rFonts w:ascii="仿宋_GB2312" w:eastAsia="仿宋_GB2312" w:hAnsi="Calibri"/>
      <w:sz w:val="32"/>
      <w:szCs w:val="32"/>
    </w:rPr>
  </w:style>
  <w:style w:type="paragraph" w:customStyle="1" w:styleId="B01">
    <w:name w:val="〖B01〗一级标题"/>
    <w:basedOn w:val="a"/>
    <w:next w:val="a"/>
    <w:qFormat/>
    <w:pPr>
      <w:numPr>
        <w:numId w:val="1"/>
      </w:numPr>
      <w:topLinePunct/>
      <w:spacing w:line="600" w:lineRule="exact"/>
      <w:outlineLvl w:val="0"/>
    </w:pPr>
    <w:rPr>
      <w:rFonts w:ascii="黑体" w:eastAsia="黑体" w:hAnsi="Calibri"/>
      <w:sz w:val="32"/>
      <w:szCs w:val="32"/>
    </w:rPr>
  </w:style>
  <w:style w:type="character" w:customStyle="1" w:styleId="B10234Char">
    <w:name w:val="〖B10〗附件说明（234...） Char"/>
    <w:link w:val="B10234"/>
    <w:qFormat/>
    <w:rPr>
      <w:rFonts w:ascii="仿宋_GB2312" w:eastAsia="仿宋_GB2312" w:hAnsi="Calibri" w:cs="Times New Roman"/>
      <w:kern w:val="2"/>
      <w:sz w:val="32"/>
      <w:szCs w:val="21"/>
      <w:lang w:val="en-US" w:eastAsia="zh-CN" w:bidi="ar-SA"/>
    </w:rPr>
  </w:style>
  <w:style w:type="paragraph" w:customStyle="1" w:styleId="B10234">
    <w:name w:val="〖B10〗附件说明（234...）"/>
    <w:next w:val="a"/>
    <w:link w:val="B10234Char"/>
    <w:qFormat/>
    <w:pPr>
      <w:widowControl w:val="0"/>
      <w:spacing w:line="600" w:lineRule="exact"/>
      <w:ind w:left="1906" w:hanging="318"/>
    </w:pPr>
    <w:rPr>
      <w:rFonts w:ascii="仿宋_GB2312" w:eastAsia="仿宋_GB2312" w:hAnsi="Calibri" w:cs="Times New Roman"/>
      <w:kern w:val="2"/>
      <w:sz w:val="32"/>
      <w:szCs w:val="21"/>
    </w:rPr>
  </w:style>
  <w:style w:type="paragraph" w:customStyle="1" w:styleId="B02">
    <w:name w:val="〖B02〗二级标题"/>
    <w:basedOn w:val="C01"/>
    <w:next w:val="C01"/>
    <w:qFormat/>
    <w:pPr>
      <w:numPr>
        <w:numId w:val="2"/>
      </w:numPr>
      <w:ind w:firstLineChars="0" w:firstLine="0"/>
      <w:outlineLvl w:val="1"/>
    </w:pPr>
    <w:rPr>
      <w:rFonts w:ascii="楷体_GB2312" w:eastAsia="楷体_GB2312"/>
    </w:rPr>
  </w:style>
  <w:style w:type="character" w:customStyle="1" w:styleId="A11Char">
    <w:name w:val="〖A11〗页脚（偶数） Char"/>
    <w:link w:val="A11"/>
    <w:qFormat/>
    <w:rPr>
      <w:rFonts w:ascii="宋体"/>
      <w:kern w:val="0"/>
      <w:sz w:val="28"/>
      <w:szCs w:val="28"/>
    </w:rPr>
  </w:style>
  <w:style w:type="paragraph" w:customStyle="1" w:styleId="A11">
    <w:name w:val="〖A11〗页脚（偶数）"/>
    <w:basedOn w:val="a4"/>
    <w:link w:val="A11Char"/>
    <w:qFormat/>
    <w:pPr>
      <w:topLinePunct/>
    </w:pPr>
    <w:rPr>
      <w:rFonts w:ascii="宋体"/>
      <w:kern w:val="0"/>
      <w:sz w:val="28"/>
      <w:szCs w:val="28"/>
    </w:rPr>
  </w:style>
  <w:style w:type="paragraph" w:customStyle="1" w:styleId="A01">
    <w:name w:val="〖A01〗密级、紧急及附件"/>
    <w:next w:val="a"/>
    <w:link w:val="A01Char"/>
    <w:qFormat/>
    <w:pPr>
      <w:spacing w:line="600" w:lineRule="exact"/>
    </w:pPr>
    <w:rPr>
      <w:rFonts w:ascii="黑体" w:eastAsia="黑体" w:hAnsi="Calibri" w:cs="Times New Roman"/>
      <w:kern w:val="2"/>
      <w:sz w:val="32"/>
      <w:szCs w:val="21"/>
    </w:rPr>
  </w:style>
  <w:style w:type="character" w:customStyle="1" w:styleId="A01Char">
    <w:name w:val="〖A01〗密级、紧急及附件 Char"/>
    <w:link w:val="A01"/>
    <w:qFormat/>
    <w:rPr>
      <w:rFonts w:ascii="黑体" w:eastAsia="黑体" w:hAnsi="Calibri" w:cs="Times New Roman"/>
      <w:kern w:val="2"/>
      <w:sz w:val="32"/>
      <w:szCs w:val="21"/>
      <w:lang w:val="en-US" w:eastAsia="zh-CN" w:bidi="ar-SA"/>
    </w:rPr>
  </w:style>
  <w:style w:type="paragraph" w:customStyle="1" w:styleId="07">
    <w:name w:val="07 正文第一层"/>
    <w:basedOn w:val="a"/>
    <w:next w:val="a"/>
    <w:qFormat/>
    <w:pPr>
      <w:spacing w:line="600" w:lineRule="exact"/>
      <w:ind w:firstLineChars="200" w:firstLine="637"/>
      <w:outlineLvl w:val="0"/>
    </w:pPr>
    <w:rPr>
      <w:rFonts w:ascii="黑体" w:eastAsia="黑体" w:hAnsi="Calibri" w:cs="宋体"/>
      <w:sz w:val="32"/>
      <w:szCs w:val="20"/>
    </w:rPr>
  </w:style>
  <w:style w:type="character" w:customStyle="1" w:styleId="08Char">
    <w:name w:val="08 正文第二层 Char"/>
    <w:link w:val="08"/>
    <w:qFormat/>
    <w:rPr>
      <w:rFonts w:ascii="楷体_GB2312" w:eastAsia="楷体_GB2312" w:hAnsi="Calibri"/>
      <w:kern w:val="0"/>
      <w:sz w:val="32"/>
      <w:szCs w:val="20"/>
    </w:rPr>
  </w:style>
  <w:style w:type="paragraph" w:customStyle="1" w:styleId="08">
    <w:name w:val="08 正文第二层"/>
    <w:basedOn w:val="a"/>
    <w:next w:val="a"/>
    <w:link w:val="08Char"/>
    <w:qFormat/>
    <w:pPr>
      <w:spacing w:line="600" w:lineRule="exact"/>
      <w:ind w:firstLineChars="200" w:firstLine="637"/>
      <w:outlineLvl w:val="1"/>
    </w:pPr>
    <w:rPr>
      <w:rFonts w:ascii="楷体_GB2312" w:eastAsia="楷体_GB2312" w:hAnsi="Calibri"/>
      <w:kern w:val="0"/>
      <w:sz w:val="32"/>
      <w:szCs w:val="20"/>
    </w:rPr>
  </w:style>
  <w:style w:type="paragraph" w:customStyle="1" w:styleId="B03">
    <w:name w:val="〖B03〗三级标题"/>
    <w:basedOn w:val="a"/>
    <w:qFormat/>
    <w:pPr>
      <w:numPr>
        <w:numId w:val="3"/>
      </w:numPr>
      <w:topLinePunct/>
      <w:spacing w:line="600" w:lineRule="exact"/>
      <w:outlineLvl w:val="2"/>
    </w:pPr>
    <w:rPr>
      <w:rFonts w:ascii="楷体_GB2312" w:eastAsia="楷体_GB2312"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0D345-C00A-41AE-B4D6-75FA508E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920</Words>
  <Characters>5249</Characters>
  <Application>Microsoft Office Word</Application>
  <DocSecurity>0</DocSecurity>
  <Lines>43</Lines>
  <Paragraphs>12</Paragraphs>
  <ScaleCrop>false</ScaleCrop>
  <Company>Microsoft</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2022-05-27T02:03:00Z</dcterms:created>
  <dcterms:modified xsi:type="dcterms:W3CDTF">2022-05-27T06:30:00Z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